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DB4" w:rsidRDefault="00745DB4" w:rsidP="00745DB4">
      <w:pPr>
        <w:pStyle w:val="p1"/>
        <w:bidi/>
      </w:pPr>
      <w:r>
        <w:rPr>
          <w:rtl/>
        </w:rPr>
        <w:t>خاموش رادیو. اعوذ بالله من الشیطان الرجیم. بسم الله الرحمن الرحیم. الحمد لله ربّ العالمین، و لا حولَ و لا قوّةَ إلا باللهِ العلیّ العظیم، و العاقبةُ للمتّقین. 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 اللهمّ صلّ علی محمّد و آل محمّد و عجّل فرجهم و العن أعداءهم.</w:t>
      </w:r>
    </w:p>
    <w:p w:rsidR="00745DB4" w:rsidRDefault="00745DB4" w:rsidP="00745DB4">
      <w:pPr>
        <w:pStyle w:val="p2"/>
        <w:rPr>
          <w:rtl/>
        </w:rPr>
      </w:pPr>
    </w:p>
    <w:p w:rsidR="00745DB4" w:rsidRDefault="00745DB4" w:rsidP="00745DB4">
      <w:pPr>
        <w:pStyle w:val="p1"/>
        <w:bidi/>
      </w:pPr>
      <w:r>
        <w:rPr>
          <w:rtl/>
        </w:rPr>
        <w:t>خطبهٔ بیست‌وشش نهج‌البلاغه تابلوی فشردهٔ «سلوک علوی در شرایط فوق‌العاده» است. میدان صفّین پر از خشم و غبار و خون است، شب «لیل‌الحریر» در تاریخ به سختی یاد شده، با این همه امیرالمؤمنین صدای ناسزا را که میان دو صف ردّ و بدل می‌شود می‌شنود و ایستاده در متن بحران، مرز می‌کِشد: شیعهٔ علی فحّاش نیست. «والله لا أُحبّ أن تکونوا سبّابین». اخلاق در مکتب علی تابع اضطرار و بهانهٔ «شرایط ویژه» نمی‌شود. نه در جنگ و نه در صلح مجاز نیستی به کرامت‌زدایی از انسان—</w:t>
      </w:r>
      <w:r>
        <w:t>even</w:t>
      </w:r>
      <w:r>
        <w:rPr>
          <w:rtl/>
        </w:rPr>
        <w:t xml:space="preserve"> دشمن مسلّح روبه‌رویت. پاسخِ درست به باطل، «توصیفِ عمل» و «تبیینِ حال» است نه «سبّ اشخاص». بگو چه کرده‌اند و کجای راه را کج رفته‌اند تا حجّت روشن شود و امکان بازگشت نلغزد؛ این «أصبّ فی القول» است، سخنی استوارتر و معذرت‌پذیرتر. هم‌زمان دعا می‌آموزد: به جای نفرین‌های هیجانی بگو «اللهمّ احقن دماءنا و دماءهم»؛ خونِ ما و آنان را نگه‌دار، حق را برایشان روشن کن تا با باطل نجنگند و خون بیهوده نریزد. اینجا ستون دیگر سلوک علوی آشکار است: خیرخواهیِ عامّ—</w:t>
      </w:r>
      <w:r>
        <w:t>even</w:t>
      </w:r>
      <w:r>
        <w:rPr>
          <w:rtl/>
        </w:rPr>
        <w:t xml:space="preserve"> نسبت به دشمنی که شمشیر کشیده—و مراقبت از «حرمتِ خون». در این منطق، جنگ ضرورتِ آخر است، پس تا می‌شود با خطبه و ارشاد و اتمام حجّت تأخیر می‌افتد، شاید دل‌هایی بیدار شود. امام حسین علیه‌السلام نیز در عاشورا بارها خطبه گفت، احتجاج کرد، هشدار داد، تا کسی با جهلِ مرکّب به کام مرگ نرود؛ سپس که حجّت تمام شد کارزار آغاز شد.</w:t>
      </w:r>
    </w:p>
    <w:p w:rsidR="00745DB4" w:rsidRDefault="00745DB4" w:rsidP="00745DB4">
      <w:pPr>
        <w:pStyle w:val="p2"/>
        <w:rPr>
          <w:rtl/>
        </w:rPr>
      </w:pPr>
    </w:p>
    <w:p w:rsidR="00745DB4" w:rsidRDefault="00745DB4" w:rsidP="00745DB4">
      <w:pPr>
        <w:pStyle w:val="p1"/>
        <w:bidi/>
      </w:pPr>
      <w:r>
        <w:rPr>
          <w:rtl/>
        </w:rPr>
        <w:t xml:space="preserve">این مرزگذاری، «تمایز لعن و سبّ» را نیز تصحیح می‌کند. سبّ یعنی به‌کاربردن الفاظِ زشت برای تحقیر مخاطب یا تخلیهٔ غیظِ نفس؛ لعن یعنی اعلامِ برائت از ظلم و ظالم و فاصله‌گذاری ایمانی با ستم، و این آموزه قرآنی است و سنّت الهی: «أَلا أُولئِکَ یَلْعَنُهُمُ اللّهُ» (المائدة </w:t>
      </w:r>
      <w:r>
        <w:rPr>
          <w:rtl/>
          <w:lang w:bidi="fa-IR"/>
        </w:rPr>
        <w:t>۵: ۸۷</w:t>
      </w:r>
      <w:r>
        <w:rPr>
          <w:rtl/>
        </w:rPr>
        <w:t xml:space="preserve"> به مضمون لعن)، و نیز «اللّهم العن أول ظالمٍ ظلم حقّ محمّد و آل محمّد…» (زیارت عاشورا). قرآن هم‌زمان باب سبّ را می‌بندد تا از قداستِ خطاب پاسداری شود: «وَ لا تَسُبّوا الّذینَ یَدعونَ مِن دونِ اللّهِ فَیَسُبّوا اللّهَ عَدْواً بِغَیرِ عِلمٍ» (الأنعام </w:t>
      </w:r>
      <w:r>
        <w:rPr>
          <w:rtl/>
          <w:lang w:bidi="fa-IR"/>
        </w:rPr>
        <w:t xml:space="preserve">۶: ۱۰۸). </w:t>
      </w:r>
      <w:r>
        <w:rPr>
          <w:rtl/>
        </w:rPr>
        <w:t>دهانی که «السلام علیک یا أبا عبدالله» از آن بیرون می‌آید آلودگیِ ناسزا را برنمی‌تابد. پس «تبرّی» را با «سبّ» نیامیزیم؛ معیار، «فعلِ ظلم» است: هر جا ظلم محقق شد، فاعلِ آن مستحقّ لعن است؛ و هر جا ایمان و بی‌گناهی بود، زبان از لعن فروبند—</w:t>
      </w:r>
      <w:r>
        <w:t>even</w:t>
      </w:r>
      <w:r>
        <w:rPr>
          <w:rtl/>
        </w:rPr>
        <w:t xml:space="preserve"> اگر خصومتِ شخصی یا هیجانِ سیاسی ما را برانگیزد. «إنّما الأعمالُ بالنّیات»؛ نیت دینیِ تبرّی با هیجانِ قبیله‌ای فرق دارد.</w:t>
      </w:r>
    </w:p>
    <w:p w:rsidR="00745DB4" w:rsidRDefault="00745DB4" w:rsidP="00745DB4">
      <w:pPr>
        <w:pStyle w:val="p2"/>
        <w:rPr>
          <w:rtl/>
        </w:rPr>
      </w:pPr>
    </w:p>
    <w:p w:rsidR="00745DB4" w:rsidRDefault="00745DB4" w:rsidP="00745DB4">
      <w:pPr>
        <w:pStyle w:val="p1"/>
        <w:bidi/>
      </w:pPr>
      <w:r>
        <w:rPr>
          <w:rtl/>
        </w:rPr>
        <w:t xml:space="preserve">حرمت خون در این مکتب اصل است. دعا برای صلح، از سرِ ترس یا ضعف نیست؛ از سرِ حُرمتِ خون است. تاریخ معصومان پر از وسواس نسبت به «یک قطره خونِ بی‌جا» است؛ حتی در تشییع، حتی دربارهٔ خونِ دشمن. قرآن میزان را چنین نهاده: «مَن قَتَلَ نَفْساً بِغَیرِ نَفْسٍ أَوْ فَسادٍ فِی الأَرْضِ فَکَأَنَّما قَتَلَ النّاسَ جَمیعاً وَ مَنْ أَحْیاها فَکَأَنَّما أَحْیَا النّاسَ جَمیعاً» (المائدة </w:t>
      </w:r>
      <w:r>
        <w:rPr>
          <w:rtl/>
          <w:lang w:bidi="fa-IR"/>
        </w:rPr>
        <w:t xml:space="preserve">۵: ۳۲). </w:t>
      </w:r>
      <w:r>
        <w:rPr>
          <w:rtl/>
        </w:rPr>
        <w:t>از این‌رو در سیرهٔ نبوی و علوی تا جای ممکن، به‌جای کشتار فراگیر، امان، صلح، جزیه، و تنظیم روابط می‌آید؛ جنگ وقتی ناگزیر شد، «عدالت در قتال» و «منع مثله» و «تعقیبِ متجاوز، نه تعمیمِ خشونت» محور است.</w:t>
      </w:r>
    </w:p>
    <w:p w:rsidR="00745DB4" w:rsidRDefault="00745DB4" w:rsidP="00745DB4">
      <w:pPr>
        <w:pStyle w:val="p2"/>
        <w:rPr>
          <w:rtl/>
        </w:rPr>
      </w:pPr>
    </w:p>
    <w:p w:rsidR="00745DB4" w:rsidRDefault="00745DB4" w:rsidP="00745DB4">
      <w:pPr>
        <w:pStyle w:val="p1"/>
        <w:bidi/>
      </w:pPr>
      <w:r>
        <w:rPr>
          <w:rtl/>
        </w:rPr>
        <w:t xml:space="preserve">در میدان سیاست و رسانه نیز همان قاعده جاری است: سبّ مصرفِ داخلیِ هیجانی دارد و چیزی در معادلات واقعی تغییر نمی‌دهد؛ ساخت افکار عمومی با «تبیینِ فعلِ ظلم» و نشان‌دادنِ واقعیت ستم و کرامت‌زدایی است، نه با مسابقهٔ توهین. دشمن‌شناسیِ دقیق می‌خواهد: فرماندهِ فریب‌کارِ اهل غدر با تودهٔ فریب‌خوردهٔ مستضعف یکی نیست. امیرالمؤمنین پس از نهروان فرمود خوارج را به‌جرم برچسب، ریشه‌کن نکنید؛ «لیس من طلب الحق فأخطأه کمن طلب الباطل فأدرکه». </w:t>
      </w:r>
      <w:r>
        <w:rPr>
          <w:rtl/>
        </w:rPr>
        <w:lastRenderedPageBreak/>
        <w:t>طبقه‌بندی کن: با رأسِ سرطانی قاطع باش، با بدنهٔ جاهل روشنگر. در روابط منطقه‌ای نیز همان عقلانیت: تفکیک طیف‌ها، یافتنِ رخنه‌های ممکن، و بدل‌سازی در میدان روایت.</w:t>
      </w:r>
    </w:p>
    <w:p w:rsidR="00745DB4" w:rsidRDefault="00745DB4" w:rsidP="00745DB4">
      <w:pPr>
        <w:pStyle w:val="p2"/>
        <w:rPr>
          <w:rtl/>
        </w:rPr>
      </w:pPr>
    </w:p>
    <w:p w:rsidR="00745DB4" w:rsidRDefault="00745DB4" w:rsidP="00745DB4">
      <w:pPr>
        <w:pStyle w:val="p1"/>
        <w:bidi/>
      </w:pPr>
      <w:r>
        <w:rPr>
          <w:rtl/>
        </w:rPr>
        <w:t>برگردیم به خطبهٔ بیست‌وشش؛ دستور امام دو لایه دارد: یک، منعِ سبّ؛ دو، تبدیلِ انرژیِ خشم به «گزارشِ دقیقِ ظلم» همراه با «دعای هدایتی». این ترکیب، هم حجّت را بر خصم تمام می‌کند، هم جبههٔ خودی را از آلودگیِ اخلاقی پاک نگه می‌دارد، هم راهِ بازگشت را—اگر بخواهد—برای دشمن باز می‌گذارد. اگر هدایت شد، آغوش گشوده است؛ اگر اصرار کرد، قتال مشروع آغاز می‌شود و در آن نیز حدّ و مرز شرعی رعایت می‌شود. این منطق، فرقِ بزرگِ «سلوکِ علوی» با «مکتبِ معاویه» است؛ آن‌جا هدف، وسیله را توجیه می‌کند؛ این‌جا هدفِ حق جز از مسیرِ حق و ابزارِ مشروع نمی‌گذرد. «والله ما معاویةُ بأدهی منّی ولکنّه یغدر و یفجر»؛ زیرکی بی‌قید به اخلاق، از جنسِ نفاق است نه فطانت ایمانی.</w:t>
      </w:r>
    </w:p>
    <w:p w:rsidR="00745DB4" w:rsidRDefault="00745DB4" w:rsidP="00745DB4">
      <w:pPr>
        <w:pStyle w:val="p2"/>
        <w:rPr>
          <w:rtl/>
        </w:rPr>
      </w:pPr>
    </w:p>
    <w:p w:rsidR="00745DB4" w:rsidRDefault="00745DB4" w:rsidP="00745DB4">
      <w:pPr>
        <w:pStyle w:val="p1"/>
        <w:bidi/>
      </w:pPr>
      <w:r>
        <w:rPr>
          <w:rtl/>
        </w:rPr>
        <w:t xml:space="preserve">حال، نزاعِ لفظیِ روز: شعارهای «مرگ بر…». اگر مقصود «تبرّی از ظلم» و «آرزوی زوالِ نظام باطل» باشد، مضمونِ ایمانی دارد؛ اما وقتی به عادتِ زبان و تعمیمِ بی‌ضابطه بدل شود، از منطق قرآن فاصله می‌گیرد و کارکرد تربیتی‌اش را از دست می‌دهد. نسلِ تازه را با «تصویرِ فعلِ ظلم» می‌توان تربیت کرد، نه با تکرارِ عباراتِ تهی از زمینه. «سلام» و «لعن» هر دو در قرآن پررنگ‌اند، اما هر کدام جای خود: «سلامٌ علی إبراهیم» به‌پاسِ تسلیم و فداکاری‌اش (الصافات </w:t>
      </w:r>
      <w:r>
        <w:rPr>
          <w:rtl/>
          <w:lang w:bidi="fa-IR"/>
        </w:rPr>
        <w:t>۳۷: ۱۰۹</w:t>
      </w:r>
      <w:r>
        <w:rPr>
          <w:rtl/>
        </w:rPr>
        <w:t xml:space="preserve">؛ و «وَ فَدَیْناهُ بِذِبْحٍ عَظیمٍ» الصافات </w:t>
      </w:r>
      <w:r>
        <w:rPr>
          <w:rtl/>
          <w:lang w:bidi="fa-IR"/>
        </w:rPr>
        <w:t>۳۷: ۱۰۷)</w:t>
      </w:r>
      <w:r>
        <w:rPr>
          <w:rtl/>
        </w:rPr>
        <w:t xml:space="preserve">، و «لعن» بر اهل ظلم. محور «فعل» است؛ «الغضبُ علیهم» وقتی است که «الظلم» واقع شده، وگرنه خشم و لعنِ بی‌محور، تربیتِ قبیله‌ای می‌سازد نه ایمانِ قرآنی. «لا إکراهَ فی الدین» (البقرة </w:t>
      </w:r>
      <w:r>
        <w:rPr>
          <w:rtl/>
          <w:lang w:bidi="fa-IR"/>
        </w:rPr>
        <w:t xml:space="preserve">۲: ۲۵۶) </w:t>
      </w:r>
      <w:r>
        <w:rPr>
          <w:rtl/>
        </w:rPr>
        <w:t>هم مرزِ دعوت و قتال را نشان می‌دهد: اکراه در ایمان نیست؛ قتال علیه تعدّی است.</w:t>
      </w:r>
    </w:p>
    <w:p w:rsidR="00745DB4" w:rsidRDefault="00745DB4" w:rsidP="00745DB4">
      <w:pPr>
        <w:pStyle w:val="p2"/>
        <w:rPr>
          <w:rtl/>
        </w:rPr>
      </w:pPr>
    </w:p>
    <w:p w:rsidR="00745DB4" w:rsidRDefault="00745DB4" w:rsidP="00745DB4">
      <w:pPr>
        <w:pStyle w:val="p1"/>
        <w:bidi/>
      </w:pPr>
      <w:r>
        <w:rPr>
          <w:rtl/>
        </w:rPr>
        <w:t>درون جبههٔ خودی نیز مرزها روشن است: لعنِ مؤمن به‌خاطر رنجش‌های کوچک، یا لعنِ زن و شوهر در مشاجره، از کبائر شمرده شده؛ «تبرّی» ابزارِ تهذیب است نه تخلیهٔ عصبیّت. نقلِ تاریخ اگر «وصفِ حالِ محقق» است—همچون «یا بنَ هندٍ آکلةِ الأکباد» در خطبهٔ زینبی—سبّ نیست؛ گزارشِ واقعیت است. اما تکرارِ الفاظ رکیک یا نسبت‌های بی‌سند، حرام و مُفسِدِ تربیت است و دهانِ اهلِ سلام را می‌آلاید.</w:t>
      </w:r>
    </w:p>
    <w:p w:rsidR="00745DB4" w:rsidRDefault="00745DB4" w:rsidP="00745DB4">
      <w:pPr>
        <w:pStyle w:val="p2"/>
        <w:rPr>
          <w:rtl/>
        </w:rPr>
      </w:pPr>
    </w:p>
    <w:p w:rsidR="00745DB4" w:rsidRDefault="00745DB4" w:rsidP="00745DB4">
      <w:pPr>
        <w:pStyle w:val="p1"/>
        <w:bidi/>
      </w:pPr>
      <w:r>
        <w:rPr>
          <w:rtl/>
        </w:rPr>
        <w:t>و این فصل را با اشارتِ کوتاهِ علوی به «حفظِ نسلِ نبوّت» ببندیم: در صفّین، چون حسن بن علی علیه‌السلام بر اسب نشست و به قلب میدان تاخت، امیرالمؤمنین فرمود: «امْلِکُوا عَنّی هَذا الغُلامَ لا یَهُدَّنی؛ امساکش کنید که کمرم نشکند؛ إنّی أَتَخَوَّفُ أَن یُقتَلَ هذانِ فَیَنقَطِعَ بِهِما نسلُ رسولِ الله»؛ بیم دارم با شهادتِ این دو، رشتهٔ نسلِ رسول خدا بریده شود. سید رضی این فقرهٔ موجز را از فصیح‌ترین و بلیغ‌ترین کلماتِ عرب دانست؛ سه کلمه و دریایی از معنا: عاطفهٔ پدرانه نیست که فرمان می‌دهد؛ صیانت از «امتداد رسالت» است که عقلِ ولایی را به احتیاط می‌خواند.</w:t>
      </w:r>
    </w:p>
    <w:p w:rsidR="00745DB4" w:rsidRDefault="00745DB4" w:rsidP="00745DB4">
      <w:pPr>
        <w:pStyle w:val="p2"/>
        <w:rPr>
          <w:rtl/>
        </w:rPr>
      </w:pPr>
    </w:p>
    <w:p w:rsidR="00745DB4" w:rsidRDefault="00745DB4" w:rsidP="00745DB4">
      <w:pPr>
        <w:pStyle w:val="p1"/>
        <w:bidi/>
      </w:pPr>
      <w:r>
        <w:rPr>
          <w:rtl/>
        </w:rPr>
        <w:t>جمع‌بندی همین است: در منطقِ نهج‌البلاغه، اخلاق تعطیل نمی‌شود، حتی در جبههٔ آتش. سبّ ممنوع، تبیینِ فعلِ ظلم واجب، دعا برای هدایت جاری، حرمتِ خون اصل، تبرّی از ظالم واجب، تفاوتِ دشمن‌ها لازم، و جنگ—وقتی ناگزیر شد—مقیّد به حدود. این دستگاهِ ساده و صریح، هم دل را از غیظ‌های بی‌ثمر خالی می‌کند، هم دست را بر ریلِ تکلیف می‌نشاند، و هم زبان را از لغزشِ ناسزا پاس می‌دارد؛ «العَارِفُ بِزَمانِهِ لا تَهْجُمُ عَلَیهِ اللَّوابِسُ»؛ و آری، «إنّما الأعمالُ بالنّیات».</w:t>
      </w:r>
    </w:p>
    <w:p w:rsidR="00745DB4" w:rsidRDefault="00745DB4"/>
    <w:sectPr w:rsidR="00745D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B4"/>
    <w:rsid w:val="002B48D3"/>
    <w:rsid w:val="00745D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B7005B4-FDA1-9842-827E-911262D2E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5D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5D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5D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5D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5D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5D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5D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5D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5D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D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5D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5D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5D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5D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5D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5D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5D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5DB4"/>
    <w:rPr>
      <w:rFonts w:eastAsiaTheme="majorEastAsia" w:cstheme="majorBidi"/>
      <w:color w:val="272727" w:themeColor="text1" w:themeTint="D8"/>
    </w:rPr>
  </w:style>
  <w:style w:type="paragraph" w:styleId="Title">
    <w:name w:val="Title"/>
    <w:basedOn w:val="Normal"/>
    <w:next w:val="Normal"/>
    <w:link w:val="TitleChar"/>
    <w:uiPriority w:val="10"/>
    <w:qFormat/>
    <w:rsid w:val="00745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D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D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5D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DB4"/>
    <w:pPr>
      <w:spacing w:before="160"/>
      <w:jc w:val="center"/>
    </w:pPr>
    <w:rPr>
      <w:i/>
      <w:iCs/>
      <w:color w:val="404040" w:themeColor="text1" w:themeTint="BF"/>
    </w:rPr>
  </w:style>
  <w:style w:type="character" w:customStyle="1" w:styleId="QuoteChar">
    <w:name w:val="Quote Char"/>
    <w:basedOn w:val="DefaultParagraphFont"/>
    <w:link w:val="Quote"/>
    <w:uiPriority w:val="29"/>
    <w:rsid w:val="00745DB4"/>
    <w:rPr>
      <w:i/>
      <w:iCs/>
      <w:color w:val="404040" w:themeColor="text1" w:themeTint="BF"/>
    </w:rPr>
  </w:style>
  <w:style w:type="paragraph" w:styleId="ListParagraph">
    <w:name w:val="List Paragraph"/>
    <w:basedOn w:val="Normal"/>
    <w:uiPriority w:val="34"/>
    <w:qFormat/>
    <w:rsid w:val="00745DB4"/>
    <w:pPr>
      <w:ind w:left="720"/>
      <w:contextualSpacing/>
    </w:pPr>
  </w:style>
  <w:style w:type="character" w:styleId="IntenseEmphasis">
    <w:name w:val="Intense Emphasis"/>
    <w:basedOn w:val="DefaultParagraphFont"/>
    <w:uiPriority w:val="21"/>
    <w:qFormat/>
    <w:rsid w:val="00745DB4"/>
    <w:rPr>
      <w:i/>
      <w:iCs/>
      <w:color w:val="0F4761" w:themeColor="accent1" w:themeShade="BF"/>
    </w:rPr>
  </w:style>
  <w:style w:type="paragraph" w:styleId="IntenseQuote">
    <w:name w:val="Intense Quote"/>
    <w:basedOn w:val="Normal"/>
    <w:next w:val="Normal"/>
    <w:link w:val="IntenseQuoteChar"/>
    <w:uiPriority w:val="30"/>
    <w:qFormat/>
    <w:rsid w:val="00745D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5DB4"/>
    <w:rPr>
      <w:i/>
      <w:iCs/>
      <w:color w:val="0F4761" w:themeColor="accent1" w:themeShade="BF"/>
    </w:rPr>
  </w:style>
  <w:style w:type="character" w:styleId="IntenseReference">
    <w:name w:val="Intense Reference"/>
    <w:basedOn w:val="DefaultParagraphFont"/>
    <w:uiPriority w:val="32"/>
    <w:qFormat/>
    <w:rsid w:val="00745DB4"/>
    <w:rPr>
      <w:b/>
      <w:bCs/>
      <w:smallCaps/>
      <w:color w:val="0F4761" w:themeColor="accent1" w:themeShade="BF"/>
      <w:spacing w:val="5"/>
    </w:rPr>
  </w:style>
  <w:style w:type="paragraph" w:customStyle="1" w:styleId="p1">
    <w:name w:val="p1"/>
    <w:basedOn w:val="Normal"/>
    <w:rsid w:val="00745DB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2">
    <w:name w:val="p2"/>
    <w:basedOn w:val="Normal"/>
    <w:rsid w:val="00745DB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966</Words>
  <Characters>5508</Characters>
  <Application>Microsoft Office Word</Application>
  <DocSecurity>0</DocSecurity>
  <Lines>45</Lines>
  <Paragraphs>12</Paragraphs>
  <ScaleCrop>false</ScaleCrop>
  <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mohammadhosein barekat</dc:creator>
  <cp:keywords/>
  <dc:description/>
  <cp:lastModifiedBy>mohammadhosein barekat</cp:lastModifiedBy>
  <cp:revision>1</cp:revision>
  <dcterms:created xsi:type="dcterms:W3CDTF">2025-10-16T19:42:00Z</dcterms:created>
  <dcterms:modified xsi:type="dcterms:W3CDTF">2025-10-16T19:42:00Z</dcterms:modified>
</cp:coreProperties>
</file>