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6F53" w14:textId="77777777" w:rsidR="00341D0C" w:rsidRPr="00B813F4" w:rsidRDefault="00341D0C" w:rsidP="00341D0C">
      <w:pPr>
        <w:jc w:val="right"/>
        <w:rPr>
          <w:rFonts w:cs="Arial"/>
          <w:rtl/>
        </w:rPr>
      </w:pPr>
      <w:r w:rsidRPr="00B813F4">
        <w:rPr>
          <w:rStyle w:val="Strong"/>
          <w:rtl/>
        </w:rPr>
        <w:t xml:space="preserve">خطبه </w:t>
      </w:r>
      <w:r w:rsidRPr="00B813F4">
        <w:rPr>
          <w:rStyle w:val="Strong"/>
          <w:rtl/>
          <w:lang w:bidi="fa-IR"/>
        </w:rPr>
        <w:t>۲۲۳</w:t>
      </w:r>
      <w:r w:rsidRPr="00B813F4">
        <w:rPr>
          <w:rStyle w:val="Strong"/>
          <w:rtl/>
        </w:rPr>
        <w:t xml:space="preserve"> نهج‌البلاغه</w:t>
      </w:r>
      <w:r w:rsidRPr="00B813F4">
        <w:rPr>
          <w:rtl/>
        </w:rPr>
        <w:t xml:space="preserve"> </w:t>
      </w:r>
    </w:p>
    <w:p w14:paraId="72F1077F" w14:textId="77777777" w:rsidR="006538C2" w:rsidRDefault="006538C2" w:rsidP="006538C2">
      <w:pPr>
        <w:pStyle w:val="p1"/>
        <w:bidi/>
      </w:pPr>
      <w:r>
        <w:rPr>
          <w:rtl/>
        </w:rPr>
        <w:t>ذکر هم خودشان اهل ذکرند و هم دیگران را به ذکر فرا می‌خوانند؛ یُذَکِّرونَ بِأَیّامِ اللَّهِ مردم را. این «أَیّامُ اللَّه» از تعابیر قرآنی است؛ روزهایی که مثلاً مهم‌ترین «یوم‌اللَّه» یومُ الحَشر یا یومُ الفَضلِ الأکبر است؛ همیشه مردم را به یاد قیامت می‌اندازند، مردم را از غفلت بیرون می‌آورند. پس ذاکر هم خودش ذاکر است هم مُذکِّر است و دیگران را به ذکر فرا می‌خواند؛ مردم را از مقام خدا بیم می‌دهند. این نکته را بارها گفته‌ایم که «خوف» در قرآن بیشتر خوف از مقام خدا یا از کیفر خداست؛ وگرنه خدا «أرحم الراحمین» است و خدایی است که «وَسِعَتْ رَحْمَتی کُلَّ شَیء»؛ خوف ندارد. عین این تعبیر را در قرآن داریم: «إِنّا نَخافُ مِنْ رَبِّنا یَوْماً عَبوساً قَمْطَریراً» (الإنسان/</w:t>
      </w:r>
      <w:r>
        <w:rPr>
          <w:rtl/>
          <w:lang w:bidi="fa-IR"/>
        </w:rPr>
        <w:t>۱۰)</w:t>
      </w:r>
      <w:r>
        <w:rPr>
          <w:rtl/>
        </w:rPr>
        <w:t>، و نیز «وَأَمّا مَنْ خافَ مَقامَ رَبِّهِ…» (النازعات/</w:t>
      </w:r>
      <w:r>
        <w:rPr>
          <w:rtl/>
          <w:lang w:bidi="fa-IR"/>
        </w:rPr>
        <w:t xml:space="preserve">۴۰–۴۱). </w:t>
      </w:r>
      <w:r>
        <w:rPr>
          <w:rtl/>
        </w:rPr>
        <w:t>پس اهل ذکر یکی از کارهایشان این است که مردم را به یاد قیامت می‌اندازند و مردم را از مقام خداوند بیم می‌دهند. این تعبیری که در فارسی می‌گوییم «از خدا بترس»، یعنی از مقام خدا بترس، از غضب خدا بترس، از کیفر خدا بترس. ادامه بدهیم: «راه‌نما» نشان است؛ نشان‌دهنده راه. راهنمای راهِ مردم در صحراها و بیابان‌ها هستند؛ یعنی این‌ها نقش راهنمایی جامعه را دارند، نقش پیشوایی جامعه را دارند، نقش هدایت جامعه را دارند. جالب است که دقت کنیم امیرالمؤمنین این نقش را فقط برای «علما» مطلقاً ذکر نکرده، بلکه برای «علمایِ اهلِ ذکر» گفته است؛ یعنی آن خصوصیتی که شایستگیِ «امامُ‌الناس» شدن را به انسانی می‌دهد همین است که اهل ذکر باشد؛ «وَإِنَّهُ لَذِکْرٌ لَکَ وَلِقَوْمِک»؛ و «وَأَنْ لَّذِکْرَاهُ لأَهل»؛ یعنی اصلاً با یاد خدا عجین شده باشد و همان تعبیری که در قرآن می‌آید «رَبّانی» شود. سعدی می‌گوید: «مرد اگر هست به جز عالمِ ربانی نیست.» قرآن در سوره توبه دارد: «وَکَأَیِّنْ مِنْ نَبِیٍّ قاتَلَ مَعَهُ رِبیّونَ کَثیرٌ» (التوبة/</w:t>
      </w:r>
      <w:r>
        <w:rPr>
          <w:rtl/>
          <w:lang w:bidi="fa-IR"/>
        </w:rPr>
        <w:t>۱۲۲</w:t>
      </w:r>
      <w:r>
        <w:rPr>
          <w:rtl/>
        </w:rPr>
        <w:t xml:space="preserve"> یا </w:t>
      </w:r>
      <w:r>
        <w:rPr>
          <w:rtl/>
          <w:lang w:bidi="fa-IR"/>
        </w:rPr>
        <w:t>۱۴۶</w:t>
      </w:r>
      <w:r>
        <w:rPr>
          <w:rtl/>
        </w:rPr>
        <w:t xml:space="preserve"> به اختلاف قرائت در رِبیّون/رُبّیّون در روایات)، یاران پیامبر را این‌گونه تعریف می‌کند؛ این‌ها ربانی بودند؛ همه فکر و ذکرشان خدا بود. این‌ها به منزله «نِصاب و اعلام» در فَلَوات و بیابان‌های بی‌آب‌وعلف‌اند؛ جایی که آدم در آن گم می‌شود، این‌ها در مقام «نشان» و راهنمای مردم در بیابان‌های زندگی هستند. ادامه بدهیم.</w:t>
      </w:r>
    </w:p>
    <w:p w14:paraId="23B98208" w14:textId="77777777" w:rsidR="006538C2" w:rsidRDefault="006538C2" w:rsidP="006538C2">
      <w:pPr>
        <w:pStyle w:val="p2"/>
        <w:rPr>
          <w:rtl/>
        </w:rPr>
      </w:pPr>
    </w:p>
    <w:p w14:paraId="1EBE4027" w14:textId="77777777" w:rsidR="006538C2" w:rsidRDefault="006538C2" w:rsidP="006538C2">
      <w:pPr>
        <w:pStyle w:val="p1"/>
        <w:bidi/>
      </w:pPr>
      <w:r>
        <w:rPr>
          <w:rtl/>
        </w:rPr>
        <w:t>«کسی که قصد…» در واقع «قَصْد» به معنای میانه‌روی است. خودِ «قَصْد» اینجا مصدر است؛ «مَن أَخَذَ القَصْدَ…». در قرآن هم داریم: «وَاقْصِدْ فِی مَشْیِکَ» (لقمان/</w:t>
      </w:r>
      <w:r>
        <w:rPr>
          <w:rtl/>
          <w:lang w:bidi="fa-IR"/>
        </w:rPr>
        <w:t>۱۹)</w:t>
      </w:r>
      <w:r>
        <w:rPr>
          <w:rtl/>
        </w:rPr>
        <w:t>، یعنی در خطّ مشی متعادل باش؛ میانه‌رو باش. «اِقتصاد» اصلاً به معنای علمِ میانه‌روی است. یکی از کتاب‌های معروف مرحوم شیخ طوسی «الاقتصاد» نام دارد؛ آدم فکر می‌کند درباره مباحث اقتصادی است، ولی بیشتر موضوعش پرهیز از افراط و تفریط است. «مَن أَخَذَ القَصْد…» یعنی «راهِ میانه‌روی را بستایید، تشویق کنید.» هرکس میانه‌روی پیشه کند، او را تشویق می‌کنند، می‌ستایند، ترغیب می‌کنند؛ «وَبَشِّروهُ بالنَّجاة»؛ و او را به نجات بشارت می‌دهند. امیرالمؤمنین به تعبیر ما با یک تیر دو نشان می‌زند: هم تشویق به تعادل، هم اینکه تعادل نتیجه‌اش نجات است؛ میانه‌روی در زندگی به نجات در زندگی منجر می‌شود. مردم از بعضی چیزها غافل‌اند؛ یکی از خصوصیات انسان در قرآن «غفلت» است؛ لذا «فَذَکِّرْ إِنَّما أَنْتَ مُذَکِّرٌ، لَسْتَ عَلَیْهِمْ بِمُصَیْطِرٍ» (الغاشیة/</w:t>
      </w:r>
      <w:r>
        <w:rPr>
          <w:rtl/>
          <w:lang w:bidi="fa-IR"/>
        </w:rPr>
        <w:t xml:space="preserve">۲۱–۲۲) </w:t>
      </w:r>
      <w:r>
        <w:rPr>
          <w:rtl/>
        </w:rPr>
        <w:t>و نیز «فَذَکِّرْ فَإِنَّ الذِّکْرى تَنْفَعُ المُؤْمِنینَ» (الذاریات/</w:t>
      </w:r>
      <w:r>
        <w:rPr>
          <w:rtl/>
          <w:lang w:bidi="fa-IR"/>
        </w:rPr>
        <w:t xml:space="preserve">۵۵). </w:t>
      </w:r>
      <w:r>
        <w:rPr>
          <w:rtl/>
        </w:rPr>
        <w:t>خدا به پیامبر یادآوری می‌کند: هی تذکر بده، شاید یادشان رفته باشد، شاید فراموش کرده باشند. ادامه بدهیم: «وَ مَنِ اتَّخَذَ الطَّریقَ یمْناً أو شِمالاً»؛ کسی که راهِ شرق و غرب، چپ و راست را انتخاب کند (افراط و تفریط)، مذمت می‌شود. «حَنیف» یعنی روشن، راست، مستقیم؛ راهی که از جلوی پایت هم می‌توانی ببینی، نه راه‌های پرپیچ‌وخم.</w:t>
      </w:r>
    </w:p>
    <w:p w14:paraId="03AFEA71" w14:textId="77777777" w:rsidR="006538C2" w:rsidRDefault="006538C2" w:rsidP="006538C2">
      <w:pPr>
        <w:pStyle w:val="p2"/>
        <w:rPr>
          <w:rtl/>
        </w:rPr>
      </w:pPr>
    </w:p>
    <w:p w14:paraId="0EC1B577" w14:textId="77777777" w:rsidR="006538C2" w:rsidRDefault="006538C2" w:rsidP="006538C2">
      <w:pPr>
        <w:pStyle w:val="p1"/>
        <w:bidi/>
      </w:pPr>
      <w:r>
        <w:rPr>
          <w:rtl/>
        </w:rPr>
        <w:t>اهل ذکر کارشان در جامعه راهنمایی است. منزلتشان این است که هرکه میانه‌رو باشد تشویقش کنند و هرکه زیاده‌روی یا کم‌روی کند، نکوهش و سرزنش. آن چیزی که انسان را به هلاکت می‌کشاند افراط و تفریط است و آنچه باعث نجات انسان می‌شود میانه‌روی و اعتدال است. آن‌ها چراغ‌های تاریکی‌ها هستند؛ «مصابیح الدُّجى»؛ و راهنما در «شُّبُهات». «شُّبَه» در اینجا به معنای پرتگاه است؛ یعنی مردم را از سقوط در پرتگاه‌ها نگه می‌دارند؛ جامعه را مدیریت می‌کنند، تعادل جامعه را حفظ می‌کنند. «دنیا بَدَلًا… أیّامُ الحَیاة…» یادمان باشد کل این فرمایشات را امام هنگام تلاوتِ «رِجالٌ لا تُلْهِیهِمْ تِجارَةٌ وَلا بَیْعٌ عَنْ ذِکْرِ اللَّهِ…» (النور/</w:t>
      </w:r>
      <w:r>
        <w:rPr>
          <w:rtl/>
          <w:lang w:bidi="fa-IR"/>
        </w:rPr>
        <w:t xml:space="preserve">۳۷) </w:t>
      </w:r>
      <w:r>
        <w:rPr>
          <w:rtl/>
        </w:rPr>
        <w:t>بیان کردند. عنوان کلی را فراموش نکنیم: خصوصیاتِ اهلِ ذکر چیست؟ مشخصات فعلی و عملی‌شان را بیان می‌کند. این «ذکر» اهلی دارد؛ یک منطق قرآنی است. بسیاری از الفاظ قرآن «مصداق خاص» و «مصداق عام» دارد؛ مثل «فَاسْأَلوا أَهْلَ الذِّکْرِ إِنْ کُنْتُمْ لا تَعْلَمونَ» (النحل/</w:t>
      </w:r>
      <w:r>
        <w:rPr>
          <w:rtl/>
          <w:lang w:bidi="fa-IR"/>
        </w:rPr>
        <w:t>۴۳</w:t>
      </w:r>
      <w:r>
        <w:rPr>
          <w:rtl/>
        </w:rPr>
        <w:t>؛ الأنبیاء/</w:t>
      </w:r>
      <w:r>
        <w:rPr>
          <w:rtl/>
          <w:lang w:bidi="fa-IR"/>
        </w:rPr>
        <w:t xml:space="preserve">۷). </w:t>
      </w:r>
      <w:r>
        <w:rPr>
          <w:rtl/>
        </w:rPr>
        <w:t xml:space="preserve">مصداق اخصّش ائمه اطهار علیهم‌السلام هستند. یکی از جاهایی که نیاز به «مرجع» و نیابت عامّه برای امام زمان عجل‌الله‌تعالی‌فرجه مستند می‌شود </w:t>
      </w:r>
      <w:r>
        <w:rPr>
          <w:rtl/>
        </w:rPr>
        <w:lastRenderedPageBreak/>
        <w:t>همین آیه است؛ امروز اگر اهل ذکر فقط امام معصوم باشند و دسترسی نباشد، به اهلِ ذکرِ عام رجوع می‌شود؛ یعنی علمای ذاکر؛ یکی از مبانی تقلید همین است: «تو بلد نیستی، از کسی که بلد است بپرس»؛ اما آن‌که بلد است، «مشخصاتی» دارد که در همین متون تعریف شده است.</w:t>
      </w:r>
    </w:p>
    <w:p w14:paraId="385B437D" w14:textId="77777777" w:rsidR="006538C2" w:rsidRDefault="006538C2" w:rsidP="006538C2">
      <w:pPr>
        <w:pStyle w:val="p2"/>
        <w:rPr>
          <w:rtl/>
        </w:rPr>
      </w:pPr>
    </w:p>
    <w:p w14:paraId="2038E129" w14:textId="77777777" w:rsidR="006538C2" w:rsidRDefault="006538C2" w:rsidP="006538C2">
      <w:pPr>
        <w:pStyle w:val="p1"/>
        <w:bidi/>
      </w:pPr>
      <w:r>
        <w:rPr>
          <w:rtl/>
        </w:rPr>
        <w:t>اولین خصوصیتی که شایستگی محلّ رجوع و تقلید بودن را می‌آورد، دنیاطلب نبودن است. این مضمون در توقیع مشهور امام عصر علیه‌السلام درباره فقیه جامع‌الشرایط نیز هست: «مَن کانَ مِن الفُقَهاءِ صائناً لِنَفسِهِ، حافِظاً لِدینِهِ، مُخالِفاً لِهَواهُ، مُطیعاً لأمرِ مَولاهُ…». مستند قرآنیِ رجوع، همان «فَاسْأَلوا أَهْلَ الذِّکْرِ…» است؛ با این توضیح که «أُولِی الأَمر» (النساء/</w:t>
      </w:r>
      <w:r>
        <w:rPr>
          <w:rtl/>
          <w:lang w:bidi="fa-IR"/>
        </w:rPr>
        <w:t xml:space="preserve">۵۹) </w:t>
      </w:r>
      <w:r>
        <w:rPr>
          <w:rtl/>
        </w:rPr>
        <w:t>مخصوص معصوم است، ولی عناوین عام مثل «خَلیفَةُ اللَّه» مراتبی دارد: مصداق اتمّش معصومین‌اند، اما هر انسان پاکِ مهذّب به قدر سعه خود بهره‌ای دارد. پس اهلِ ذکر «اهلیّت» می‌خواهد؛ ذکر را به جای دنیا برمی‌گزینند؛ انس با یاد خدا را جایگزین دنیا می‌کنند؛ عشق، دلخوشی، آرامش و خواسته‌شان ذکر است. «رِجالٌ لا تُلْهِیهم تجارةٌ ولا بیعٌ عن ذکرِ اللَّه و إقامِ الصلاة…» (النور/</w:t>
      </w:r>
      <w:r>
        <w:rPr>
          <w:rtl/>
          <w:lang w:bidi="fa-IR"/>
        </w:rPr>
        <w:t xml:space="preserve">۳۷). </w:t>
      </w:r>
      <w:r>
        <w:rPr>
          <w:rtl/>
        </w:rPr>
        <w:t>چرا «تجارت» را مثال زده؟ چون عایدیِ محسوس دارد؛ صفرِ حساب بانکی بالا می‌رود؛ جذابیتِ مالِ دنیا. اما حتی تجارت و بیع هم آن‌ها را از یاد خدا غافل نمی‌کند. با یاد خدا روزگار می‌گذرانند؛ «یُذَکِّرونَ بِأَیّامِ اللَّه»؛ «وَیَحذِّرونَ النّاسَ مَحارِمَ اللَّه»؛ مردم را نسبت به محارم الهی هشدار می‌دهند؛ شعارشان نهی از منکر است؛ در گوش غافلان شعارهای هشداردهنده می‌خوانند. به قِسط هدایت می‌کنند و خودشان هم به قِسط عمل می‌کنند: «یَأمُرونَ بِالقِسطِ وَیَعتَمِدونَ بِهِ/یَعتَمِرونَ بِهِ». و بر خلاف آفت مذموم: «لَعَنَ اللَّهُ الآمِرینَ بِالمَعروفِ التّارِکینَ لَهُ، وَالنّاهینَ عَنِ المُنکَرِ العامِلینَ بِهِ»؛ اهلِ ذکر اگر امر به معروف کنند، خود را ملزم به عمل می‌دانند و اگر نهی از منکر کنند، خود را ملزم به ترک می‌شناسند.</w:t>
      </w:r>
    </w:p>
    <w:p w14:paraId="4122B810" w14:textId="77777777" w:rsidR="006538C2" w:rsidRDefault="006538C2" w:rsidP="006538C2">
      <w:pPr>
        <w:pStyle w:val="p2"/>
        <w:rPr>
          <w:rtl/>
        </w:rPr>
      </w:pPr>
    </w:p>
    <w:p w14:paraId="6BFC134E" w14:textId="77777777" w:rsidR="006538C2" w:rsidRDefault="006538C2" w:rsidP="006538C2">
      <w:pPr>
        <w:pStyle w:val="p1"/>
        <w:bidi/>
      </w:pPr>
      <w:r>
        <w:rPr>
          <w:rtl/>
        </w:rPr>
        <w:t>«کَأَنَّهُم قَدْ قَطَعُوا الدُّنیا إلی الآخرةِ وَهُمْ فیها»؛ گویی راه دنیا به سوی آخرت را طی کرده‌اند و به آخرت رسیده‌اند در حالی که هنوز در دنیا هستند؛ مثل جمله خطبه متقین: «أجسادُهُم فی العملِ و أرواحُهُم فی الجَنّةِ». «فَشَهِدوا ما وَراءَ ذلک»؛ گویی ماورای دنیا را می‌بینند؛ «کَأنَّهُم اطَّلَعوا فی غُیوبِ أهلِ البَرزخِ»؛ بر طولِ اقامت در برزخ واقف‌اند. «أقامه» تعبیرِ ظریفی است؛ برزخ منزلگاهِ واپسین نیست، اما اقامتی طولانی دارد. امکان کشف برای اولیای اهل ذکر هست: «یَرَونَ ما لا یَری الناسُ و یَسمَعونَ ما لا یَسمَعُ الناس». نقل‌های اخلاقی در این باب فراوان است.</w:t>
      </w:r>
    </w:p>
    <w:p w14:paraId="407D7AD7" w14:textId="77777777" w:rsidR="006538C2" w:rsidRDefault="006538C2" w:rsidP="006538C2">
      <w:pPr>
        <w:pStyle w:val="p2"/>
        <w:rPr>
          <w:rtl/>
        </w:rPr>
      </w:pPr>
    </w:p>
    <w:p w14:paraId="28DE6C57" w14:textId="77777777" w:rsidR="006538C2" w:rsidRDefault="006538C2" w:rsidP="006538C2">
      <w:pPr>
        <w:pStyle w:val="p1"/>
        <w:bidi/>
      </w:pPr>
      <w:r>
        <w:rPr>
          <w:rtl/>
        </w:rPr>
        <w:t>«جَمْعُ عُدَّت» به معنای «وعده»؛ گویی قیامت وعده‌هایش را برای آنان محقق کرده است. اهلِ ذکر که به مقام «إلا تذکرةً لِمَنْ یَتَذَکَّر» رسیده‌اند، شرط لازمِ رسیدنشان علم هم هست، اما سخن امیرالمؤمنین در مقامِ «اهل الذکر» است نه صرفِ «عالم». این مقام اختصاص به معمم ندارد؛ چه بسا بازرگانی ربانی که مصداق «رِجالٌ لا تُلْهِیهم تجارةٌ…» باشد؛ نمونه‌های عینی بسیار است.</w:t>
      </w:r>
    </w:p>
    <w:p w14:paraId="77EEFE19" w14:textId="77777777" w:rsidR="006538C2" w:rsidRDefault="006538C2" w:rsidP="006538C2">
      <w:pPr>
        <w:pStyle w:val="p2"/>
        <w:rPr>
          <w:rtl/>
        </w:rPr>
      </w:pPr>
    </w:p>
    <w:p w14:paraId="269703A3" w14:textId="77777777" w:rsidR="006538C2" w:rsidRDefault="006538C2" w:rsidP="006538C2">
      <w:pPr>
        <w:pStyle w:val="p1"/>
        <w:bidi/>
      </w:pPr>
      <w:r>
        <w:rPr>
          <w:rtl/>
        </w:rPr>
        <w:t>«کَأَنَّهُم یَکشِفونَ الغِطاءَ»؛ پرده‌های قیامت را برای اهلِ دنیا می‌گشایند. لقب «کاشف‌الغطاء» برای شیخ جعفر مشهور است؛ حکایات مناجات‌هایش در مسجد کوفه معروف است؛ «إلهی کُنتُ جَعفَراً فاجعَلنی جَعفَراً»… مراقبت از اخلاص او تا آنجا که اگر صحنه‌ای بویِ عُجب می‌داد، از امامت منصرف می‌شد.</w:t>
      </w:r>
    </w:p>
    <w:p w14:paraId="0A73561D" w14:textId="77777777" w:rsidR="006538C2" w:rsidRDefault="006538C2" w:rsidP="006538C2">
      <w:pPr>
        <w:pStyle w:val="p2"/>
        <w:rPr>
          <w:rtl/>
        </w:rPr>
      </w:pPr>
    </w:p>
    <w:p w14:paraId="05BB5E78" w14:textId="77777777" w:rsidR="006538C2" w:rsidRDefault="006538C2" w:rsidP="006538C2">
      <w:pPr>
        <w:pStyle w:val="p1"/>
        <w:bidi/>
      </w:pPr>
      <w:r>
        <w:rPr>
          <w:rtl/>
        </w:rPr>
        <w:t>«حَتّی کَأَنَّهُم یَرَونَ ما لا یَری الناس…»؛ نه اینکه بالفعل بهشت و جهنم را ببینند، بلکه «کَأَنَّ». «فَتَمَثَّلهُم لِلعَقلِ فی مَقامِهِم المَحمود و مَجالِسِهِم المَشهود»؛ اگر بخواهی برای عقلت اینان را تمثّل کنی، در خلوتِ محمودشان و جلوتِ مشهودشان ببین؛ اشاره به «وَمِنَ اللَّیلِ فَتَهَجَّدْ بِهِ نافِلَةً لَک عَسی أنْ یَبعَثَک رَبُّک مَقاماً مَحموداً» (الإسراء/</w:t>
      </w:r>
      <w:r>
        <w:rPr>
          <w:rtl/>
          <w:lang w:bidi="fa-IR"/>
        </w:rPr>
        <w:t xml:space="preserve">۷۹). </w:t>
      </w:r>
      <w:r>
        <w:rPr>
          <w:rtl/>
        </w:rPr>
        <w:t xml:space="preserve">تمثّل کن که زندگیِ ذاکر </w:t>
      </w:r>
      <w:r>
        <w:rPr>
          <w:rtl/>
        </w:rPr>
        <w:lastRenderedPageBreak/>
        <w:t>چگونه می‌گذرد: حتماً بخشی تهجّد شبانه است. «نَشَروا دَواوینَ أعمالِهِم»؛ کارنامه‌شان پیش چشمشان گشوده است؛ چه در خلوت چه در جلوت، مدام محاسبه می‌کنند: «حَاسِبوا أنفُسَکُم قبلَ أن تُحاسَبوا». «فَرَغوا لِمُحاسَبَةِ أنفُسِهِم علی کُلِّ صغیرةٍ و کبیرةٍ»؛ هیچ ریز و درشتی را وانمی‌گذارند؛ اگر مأمور به فعلی بوده‌اند و تقصیر کرده‌اند، «فَقَصَّروا عنها»، اگر از چیزی نهی شده‌اند و زیاده‌روی کرده‌اند، «فَجاوَزوا فیها»، بارِ اوزار بر دوششان سنگینی می‌کند: «حَمَلوا ثِقْلَ أوزارِهِم». چون بار سنگین می‌شود، «فَضَعُفوا عن استقلاله»؛ به تنهایی نتوانند حمل کنند؛ جای توبه و نَدَم است؛ «فَنَشَجوا نَشیجاً و نَحَبوا نَحیباً»؛ ناله و گریه؛ نه به‌خاطر صرفِ سنگینی بار، بلکه برای دور شدن از مختصاتِ ذکر.</w:t>
      </w:r>
    </w:p>
    <w:p w14:paraId="0023E376" w14:textId="77777777" w:rsidR="006538C2" w:rsidRDefault="006538C2" w:rsidP="006538C2">
      <w:pPr>
        <w:pStyle w:val="p2"/>
        <w:rPr>
          <w:rtl/>
        </w:rPr>
      </w:pPr>
    </w:p>
    <w:p w14:paraId="7BD9CC61" w14:textId="77777777" w:rsidR="006538C2" w:rsidRDefault="006538C2" w:rsidP="006538C2">
      <w:pPr>
        <w:pStyle w:val="p1"/>
        <w:bidi/>
      </w:pPr>
      <w:r>
        <w:rPr>
          <w:rtl/>
        </w:rPr>
        <w:t>«یَعِجّونَ إلی ربِّهم من مقامِ النَّدبة و الاعتراف»؛ یادمان هست شرایط شش‌گانه استغفار در کلام امیرالمؤمنین علیه‌السلام: نَدَم بر گذشته، عزم بر ترکِ عَود، اداء حقوق،… در مناجات‌های پانزده‌گانه صحیفه سجادیه: «اللَّهُمَّ إنْ کانَ النَّدمُ علی الذَّنبِ توبةً فَعِزَّتِک إنّی مِنَ النّادِمین». این سلوک اخلاقی اهل ذکر است؛ قرار نیست معصوم باشند، اما واکنششان سریع است چون پیوسته محاسبه می‌کنند.</w:t>
      </w:r>
    </w:p>
    <w:p w14:paraId="6D828D03" w14:textId="77777777" w:rsidR="006538C2" w:rsidRDefault="006538C2" w:rsidP="006538C2">
      <w:pPr>
        <w:pStyle w:val="p2"/>
        <w:rPr>
          <w:rtl/>
        </w:rPr>
      </w:pPr>
    </w:p>
    <w:p w14:paraId="4468AA58" w14:textId="77777777" w:rsidR="006538C2" w:rsidRDefault="006538C2" w:rsidP="006538C2">
      <w:pPr>
        <w:pStyle w:val="p1"/>
        <w:bidi/>
      </w:pPr>
      <w:r>
        <w:rPr>
          <w:rtl/>
        </w:rPr>
        <w:t>نشانه‌های هدایت‌اند: «أعلامُ هُدی و مصابیحُ الدُّجى». «قَدْ حَفَّتْ بِهمُ الملائکةُ»؛ فرشتگان ایشان را در بر گرفته‌اند؛ «وَالْمَلائِکَةُ یُسَبِّحونَ بِحَمدِ رَبِّهِمْ وَیَسْتَغْفِرونَ لِمَن فی الأرض» (الشورى/</w:t>
      </w:r>
      <w:r>
        <w:rPr>
          <w:rtl/>
          <w:lang w:bidi="fa-IR"/>
        </w:rPr>
        <w:t>۵). «</w:t>
      </w:r>
      <w:r>
        <w:rPr>
          <w:rtl/>
        </w:rPr>
        <w:t>وَأُنْزِلَتْ عَلَی قُلُوبِهِمُ السَّکینةُ»؛ آرامش حقیقی؛ امکان زندگیِ توأم با رضایت و امنیت در همین دنیاست؛ اگر خود را در طول موجِ الهی بنشانیم. «وَفُتِحَتْ لَهُم أبوابُ السَّماءِ»؛ درهای رحمت گشوده می‌شود؛ «وَأُعِدَّتْ لَهُم مَقاعِدُ الکَرامات»؛ اشاره به «إِنَّ المُتَّقینَ فی جَنّاتٍ وَنَهَرٍ، فی مَقعَدِ صِدقٍ عِندَ مَلِیکٍ مُقْتَدِرٍ» (القمر/</w:t>
      </w:r>
      <w:r>
        <w:rPr>
          <w:rtl/>
          <w:lang w:bidi="fa-IR"/>
        </w:rPr>
        <w:t xml:space="preserve">۵۴–۵۵). </w:t>
      </w:r>
      <w:r>
        <w:rPr>
          <w:rtl/>
        </w:rPr>
        <w:t>خدا بر آنان مطّلع و از ایشان راضی است: «رَضِیَ اللَّهُ عَنهُم وَرَضوا عَنهُ». فرشتگان سلام می‌کنند: «سَلامٌ عَلَیْکُم بما صَبَرتُم فَنِعْمَ عُقبَى الدّار» (الرعد/</w:t>
      </w:r>
      <w:r>
        <w:rPr>
          <w:rtl/>
          <w:lang w:bidi="fa-IR"/>
        </w:rPr>
        <w:t>۲۴).</w:t>
      </w:r>
    </w:p>
    <w:p w14:paraId="7E5BCE5A" w14:textId="77777777" w:rsidR="006538C2" w:rsidRDefault="006538C2" w:rsidP="006538C2">
      <w:pPr>
        <w:pStyle w:val="p2"/>
        <w:rPr>
          <w:rtl/>
        </w:rPr>
      </w:pPr>
    </w:p>
    <w:p w14:paraId="2308517A" w14:textId="77777777" w:rsidR="006538C2" w:rsidRDefault="006538C2" w:rsidP="006538C2">
      <w:pPr>
        <w:pStyle w:val="p1"/>
        <w:bidi/>
      </w:pPr>
      <w:r>
        <w:rPr>
          <w:rtl/>
        </w:rPr>
        <w:t>اهل ذکر در دعا دستشان همیشه به سوی خداست؛ از او «تَجاوُز» می‌طلبند؛ «جَاوِزْ عَنّا» یعنی از گناه ما درگذر. زندگیشان را در گروِ فضل خدا می‌بینند؛ «مفتونِ عِظَمَتِه» و «أسیرِ اکبر»؛ «اللَّهُ أکبر» برایشان حقیقتی ملموس است. «طولُ العَصی» و «طولُ البُکاء» تعبیر از غم مقدسِ آخرت‌اندیشی است؛ نه افسردگیِ ظاهری؛ «المؤمنُ بَشرُهُ فی وجهِهِ و حُزنُهُ فی قلبِهِ». حزن از فرجام و از قصور در ادب بندگی است. در سیره امیرالمؤمنین علیه‌السلام بارها آمده که به خلوت بیرون شهر می‌رفت و با آهِ «آهِ مِنْ قِلَّةِ الزّادِ و طُولِ الطَّریق» می‌گریست؛ نه اینکه زندگی خانواده را تلخ کند. اهل ذکر بهشت و جهنم را جدی می‌گیرند؛ خوف از جهنم چشمانشان را گریان می‌کند؛ تعبیرات زیارت ناحیه: «فَلَأَنْدُبَنَّکَ صَباحاً وَمَساءً وَلَأَبکِیَنَّ لَکَ بَدَلَ الدّموعِ دَماً»؛ و در روایت امام رضا علیه‌السلام: «إنَّ یَومَ الحُسَینِ أقرَحَ جُفونَنا».</w:t>
      </w:r>
    </w:p>
    <w:p w14:paraId="112A75B0" w14:textId="77777777" w:rsidR="006538C2" w:rsidRDefault="006538C2" w:rsidP="006538C2">
      <w:pPr>
        <w:pStyle w:val="p2"/>
        <w:rPr>
          <w:rtl/>
        </w:rPr>
      </w:pPr>
    </w:p>
    <w:p w14:paraId="24F1958A" w14:textId="77777777" w:rsidR="006538C2" w:rsidRDefault="006538C2" w:rsidP="006538C2">
      <w:pPr>
        <w:pStyle w:val="p1"/>
        <w:bidi/>
      </w:pPr>
      <w:r>
        <w:rPr>
          <w:rtl/>
        </w:rPr>
        <w:t>«لِکُلِّ بابٍ رَغبةٌ إلی اللَّهِ مِنهُم، وَلَهُم یَدٌ قارِعَةٌ»؛ هر دری از درهای رحمت را که ببینند، می‌کوبند؛ از خدایی می‌خواهند که عطایش به تنگی نمی‌افتد؛ «خَزائِنُهُ لا تَنفَد»؛ «وَلا یُخَیِّبُ عَلَیْهِ الرّاغِبینَ». «فَحاسِبْ نَفسَکَ لِنَفسِکَ»؛ خودت به حساب خودت برس؛ «فَإِنَّ غَیْرَها مِنَ الأنفُسِ لَها حَسیبٌ غَیرُکَ»؛ تو مأمورِ حسابِ دیگران نیستی؛ حسابرسِ آنان خداست. به حساب خودت برس و به داد خودت برس.</w:t>
      </w:r>
    </w:p>
    <w:p w14:paraId="6302963D" w14:textId="77777777" w:rsidR="006538C2" w:rsidRDefault="006538C2" w:rsidP="006538C2">
      <w:pPr>
        <w:pStyle w:val="p2"/>
        <w:rPr>
          <w:rtl/>
        </w:rPr>
      </w:pPr>
    </w:p>
    <w:p w14:paraId="754A8A75" w14:textId="77777777" w:rsidR="006538C2" w:rsidRDefault="006538C2" w:rsidP="006538C2">
      <w:pPr>
        <w:pStyle w:val="p1"/>
        <w:bidi/>
      </w:pPr>
      <w:r>
        <w:rPr>
          <w:rtl/>
        </w:rPr>
        <w:t>سپس خطابِ اخلاقیِ خاص می‌آید؛ مثل سفارش‌های حضرت به کمیل: اول درباره عالم و علم، سپس دستورالعمل به خودِ مخاطب. وجوبِ امر به معروف و نهی از منکر به دو تأثیر است: تأثیر بر آمر و بر مأمور. ترکِ امر به معروف دو گناه می‌آورد: هم ترکِ واجبِ خودِ امر، هم ایجادِ چرخه توجیه برای استمرارِ سستی. علاج، اصلاحِ سستی است؛ نه کنار گذاشتنِ تکلیف به بهانه آلودگیِ شخصی. مثل نمازِ «وَلا تَقْرَبُوا الصَّلاةَ وَأَنْتُمْ سُکارى» (النساء/</w:t>
      </w:r>
      <w:r>
        <w:rPr>
          <w:rtl/>
          <w:lang w:bidi="fa-IR"/>
        </w:rPr>
        <w:t xml:space="preserve">۴۳): </w:t>
      </w:r>
      <w:r>
        <w:rPr>
          <w:rtl/>
        </w:rPr>
        <w:t xml:space="preserve">دائم‌الخَمر بودن نماز را ساقط </w:t>
      </w:r>
      <w:r>
        <w:rPr>
          <w:rtl/>
        </w:rPr>
        <w:lastRenderedPageBreak/>
        <w:t>نمی‌کند، باید مانع را برطرف کرد تا تکلیف بجا آید. آیه توبیخ می‌کند: «یا أَیُّهَا الَّذینَ آمَنوا لِمَ تَقولونَ ما لا تَفعَلونَ * کَبُرَ مَقتاً عِندَ اللَّهِ أنْ تَقولوا ما لا تَفعَلونَ» (الصف/</w:t>
      </w:r>
      <w:r>
        <w:rPr>
          <w:rtl/>
          <w:lang w:bidi="fa-IR"/>
        </w:rPr>
        <w:t xml:space="preserve">۲–۳). </w:t>
      </w:r>
      <w:r>
        <w:rPr>
          <w:rtl/>
        </w:rPr>
        <w:t>آفتِ بزرگی که بر سر فریضه آمده از تناقضِ گویندگان بوده است؛ لذا باید اول مانعِ صدق را در خود برداشت تا امر و نهی اثر اجتماعی پیدا کند.</w:t>
      </w:r>
    </w:p>
    <w:p w14:paraId="47AEA4B6" w14:textId="77777777" w:rsidR="006538C2" w:rsidRDefault="006538C2" w:rsidP="006538C2">
      <w:pPr>
        <w:pStyle w:val="p2"/>
        <w:rPr>
          <w:rtl/>
        </w:rPr>
      </w:pPr>
    </w:p>
    <w:p w14:paraId="11F1BDDA" w14:textId="77777777" w:rsidR="006538C2" w:rsidRDefault="006538C2" w:rsidP="006538C2">
      <w:pPr>
        <w:pStyle w:val="p1"/>
        <w:bidi/>
      </w:pPr>
      <w:r>
        <w:rPr>
          <w:rtl/>
        </w:rPr>
        <w:t>روخوانی خطبه بعدی: «قال علیه‌السلام عند تلاوته: یا أیُّهَا الإنسانُ ما غَرَّکَ بِرَبِّکَ الکَریمُ…» این‌ها تفاسیر قرآنی نهج‌البلاغه است. متن را فقط روخوانی می‌کنیم: «اَحْدَدْ مَسؤولُ حُجّة… وَقَطَعَ مَعاذیرَة… لَقَد أبْرَهَ جَهالَتُهُ بِنَفْسِهِ… یا أیُّهَا الإنسانُ ما جَرَّأکَ علی ذَنبِکَ و ما غَرَّکَ بِرَبِّکَ و ما أنْساکَ هَلَکَةَ نَفْسِک… أمَا تَرحَمُ نَفْسَکَ کَما تَرحَمُ غَیرَکَ… ما لا تَرضاهُ من حَرِّ الشَّمسِ فتَظِلَّه… أو تَری المُبتَلی بِعِلَّةِ جَسَدِهِ فَتَبکی رَحمةً لَهُ، فما صَبرُکَ علی داعیکَ و جُلدُکَ علی مُصابِک… و کیف لا تخافُ بَیاتَ نِقمَتِه… فَتَدَاوَ مِنْ داعی الفِطرَةِ فی قلبِکَ بِعَظیمِها، و من کَ الغَفلَةِ فی نادِرِک… و کُنْ لِلَّهِ مُطیعاً و بِذِکرِهِ آنِساً، و تَمَثَّلْ فی حالِ تولّیک أنّهُ أقبَلَ علیکَ یدعوکَ إلی عَفْوِهِ و یتَقَدَّمُکَ بِفَضلِهِ و أنتَ مُتَوَلٍّ إلی غیرِهِ؛ فَتَعالی مِن قَویٍّ ما أکرَمَهُ، و تَواضَعْ من ضعیفٍ ما أجرَأهُ علی مَعصیتِهِ و هو فی سِترِهِ مُقیم، و فی سَعَةِ فَضلِهِ مُتَقَلِّب؛ فلم یَمنَعْکَ فضلُهُ و لم یَهتِکْ عنکَ سِترُهُ، بل لم تَخلُ من لُطفِهِ عَیناً: فی نِعمةٍ یُحَدثُها لَک أو سَیِّئةٍ یَستُرُها علیک…» تا آن فراز: «وَحَقّاً أقولُ ما الدنیا غَرَّتْکَ و لکنْ بِها اغْتَرَرْتَ… و لَهِیَ بما تَعِدُکَ من نُزولِ البلاءِ بِجِسمِکَ و النُّقصانِ فی قوّتِکَ أصدقُ و أوفی…» و پایان: «فَتَحَرَّ مِن أمرِکَ ما یُقیمُ بهِ عُذرُکَ و تَثبُتُ بهِ حُجَّتُکَ… و شُمَّ بَرقَ النَّجاةِ و ارحَلْ مُتَشَمِّراً… و صَلَّی اللَّهُ علی محمدٍ و آلهِ الطاهرین. اللهم صلِّ علی محمدٍ و آلِ محمد.»</w:t>
      </w:r>
    </w:p>
    <w:p w14:paraId="020CFE9C" w14:textId="77777777" w:rsidR="006538C2" w:rsidRDefault="006538C2"/>
    <w:sectPr w:rsidR="006538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EC90" w14:textId="77777777" w:rsidR="009C7148" w:rsidRDefault="009C7148" w:rsidP="00341D0C">
      <w:pPr>
        <w:spacing w:after="0" w:line="240" w:lineRule="auto"/>
      </w:pPr>
      <w:r>
        <w:separator/>
      </w:r>
    </w:p>
  </w:endnote>
  <w:endnote w:type="continuationSeparator" w:id="0">
    <w:p w14:paraId="2219E9C6" w14:textId="77777777" w:rsidR="009C7148" w:rsidRDefault="009C7148" w:rsidP="00341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7F1AD" w14:textId="77777777" w:rsidR="009C7148" w:rsidRDefault="009C7148" w:rsidP="00341D0C">
      <w:pPr>
        <w:spacing w:after="0" w:line="240" w:lineRule="auto"/>
      </w:pPr>
      <w:r>
        <w:separator/>
      </w:r>
    </w:p>
  </w:footnote>
  <w:footnote w:type="continuationSeparator" w:id="0">
    <w:p w14:paraId="263CF82B" w14:textId="77777777" w:rsidR="009C7148" w:rsidRDefault="009C7148" w:rsidP="00341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C2"/>
    <w:rsid w:val="00341D0C"/>
    <w:rsid w:val="004270D2"/>
    <w:rsid w:val="004B1E1F"/>
    <w:rsid w:val="006538C2"/>
    <w:rsid w:val="009C71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8228"/>
  <w15:chartTrackingRefBased/>
  <w15:docId w15:val="{93A242AB-DA36-8048-83C9-DFADFE1D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8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8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8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8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8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8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8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8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8C2"/>
    <w:rPr>
      <w:rFonts w:eastAsiaTheme="majorEastAsia" w:cstheme="majorBidi"/>
      <w:color w:val="272727" w:themeColor="text1" w:themeTint="D8"/>
    </w:rPr>
  </w:style>
  <w:style w:type="paragraph" w:styleId="Title">
    <w:name w:val="Title"/>
    <w:basedOn w:val="Normal"/>
    <w:next w:val="Normal"/>
    <w:link w:val="TitleChar"/>
    <w:uiPriority w:val="10"/>
    <w:qFormat/>
    <w:rsid w:val="00653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8C2"/>
    <w:pPr>
      <w:spacing w:before="160"/>
      <w:jc w:val="center"/>
    </w:pPr>
    <w:rPr>
      <w:i/>
      <w:iCs/>
      <w:color w:val="404040" w:themeColor="text1" w:themeTint="BF"/>
    </w:rPr>
  </w:style>
  <w:style w:type="character" w:customStyle="1" w:styleId="QuoteChar">
    <w:name w:val="Quote Char"/>
    <w:basedOn w:val="DefaultParagraphFont"/>
    <w:link w:val="Quote"/>
    <w:uiPriority w:val="29"/>
    <w:rsid w:val="006538C2"/>
    <w:rPr>
      <w:i/>
      <w:iCs/>
      <w:color w:val="404040" w:themeColor="text1" w:themeTint="BF"/>
    </w:rPr>
  </w:style>
  <w:style w:type="paragraph" w:styleId="ListParagraph">
    <w:name w:val="List Paragraph"/>
    <w:basedOn w:val="Normal"/>
    <w:uiPriority w:val="34"/>
    <w:qFormat/>
    <w:rsid w:val="006538C2"/>
    <w:pPr>
      <w:ind w:left="720"/>
      <w:contextualSpacing/>
    </w:pPr>
  </w:style>
  <w:style w:type="character" w:styleId="IntenseEmphasis">
    <w:name w:val="Intense Emphasis"/>
    <w:basedOn w:val="DefaultParagraphFont"/>
    <w:uiPriority w:val="21"/>
    <w:qFormat/>
    <w:rsid w:val="006538C2"/>
    <w:rPr>
      <w:i/>
      <w:iCs/>
      <w:color w:val="0F4761" w:themeColor="accent1" w:themeShade="BF"/>
    </w:rPr>
  </w:style>
  <w:style w:type="paragraph" w:styleId="IntenseQuote">
    <w:name w:val="Intense Quote"/>
    <w:basedOn w:val="Normal"/>
    <w:next w:val="Normal"/>
    <w:link w:val="IntenseQuoteChar"/>
    <w:uiPriority w:val="30"/>
    <w:qFormat/>
    <w:rsid w:val="00653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8C2"/>
    <w:rPr>
      <w:i/>
      <w:iCs/>
      <w:color w:val="0F4761" w:themeColor="accent1" w:themeShade="BF"/>
    </w:rPr>
  </w:style>
  <w:style w:type="character" w:styleId="IntenseReference">
    <w:name w:val="Intense Reference"/>
    <w:basedOn w:val="DefaultParagraphFont"/>
    <w:uiPriority w:val="32"/>
    <w:qFormat/>
    <w:rsid w:val="006538C2"/>
    <w:rPr>
      <w:b/>
      <w:bCs/>
      <w:smallCaps/>
      <w:color w:val="0F4761" w:themeColor="accent1" w:themeShade="BF"/>
      <w:spacing w:val="5"/>
    </w:rPr>
  </w:style>
  <w:style w:type="paragraph" w:customStyle="1" w:styleId="p1">
    <w:name w:val="p1"/>
    <w:basedOn w:val="Normal"/>
    <w:rsid w:val="006538C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6538C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4270D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270D2"/>
    <w:rPr>
      <w:b/>
      <w:bCs/>
    </w:rPr>
  </w:style>
  <w:style w:type="paragraph" w:styleId="Header">
    <w:name w:val="header"/>
    <w:basedOn w:val="Normal"/>
    <w:link w:val="HeaderChar"/>
    <w:uiPriority w:val="99"/>
    <w:unhideWhenUsed/>
    <w:rsid w:val="00341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D0C"/>
  </w:style>
  <w:style w:type="paragraph" w:styleId="Footer">
    <w:name w:val="footer"/>
    <w:basedOn w:val="Normal"/>
    <w:link w:val="FooterChar"/>
    <w:uiPriority w:val="99"/>
    <w:unhideWhenUsed/>
    <w:rsid w:val="00341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D0C"/>
  </w:style>
  <w:style w:type="character" w:customStyle="1" w:styleId="ms-1">
    <w:name w:val="ms-1"/>
    <w:basedOn w:val="DefaultParagraphFont"/>
    <w:rsid w:val="00341D0C"/>
  </w:style>
  <w:style w:type="character" w:customStyle="1" w:styleId="max-w-15ch">
    <w:name w:val="max-w-[15ch]"/>
    <w:basedOn w:val="DefaultParagraphFont"/>
    <w:rsid w:val="00341D0C"/>
  </w:style>
  <w:style w:type="character" w:customStyle="1" w:styleId="-me-1">
    <w:name w:val="-me-1"/>
    <w:basedOn w:val="DefaultParagraphFont"/>
    <w:rsid w:val="00341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159013">
      <w:bodyDiv w:val="1"/>
      <w:marLeft w:val="0"/>
      <w:marRight w:val="0"/>
      <w:marTop w:val="0"/>
      <w:marBottom w:val="0"/>
      <w:divBdr>
        <w:top w:val="none" w:sz="0" w:space="0" w:color="auto"/>
        <w:left w:val="none" w:sz="0" w:space="0" w:color="auto"/>
        <w:bottom w:val="none" w:sz="0" w:space="0" w:color="auto"/>
        <w:right w:val="none" w:sz="0" w:space="0" w:color="auto"/>
      </w:divBdr>
      <w:divsChild>
        <w:div w:id="1089814642">
          <w:marLeft w:val="0"/>
          <w:marRight w:val="0"/>
          <w:marTop w:val="0"/>
          <w:marBottom w:val="0"/>
          <w:divBdr>
            <w:top w:val="none" w:sz="0" w:space="0" w:color="auto"/>
            <w:left w:val="none" w:sz="0" w:space="0" w:color="auto"/>
            <w:bottom w:val="none" w:sz="0" w:space="0" w:color="auto"/>
            <w:right w:val="none" w:sz="0" w:space="0" w:color="auto"/>
          </w:divBdr>
          <w:divsChild>
            <w:div w:id="2000310376">
              <w:marLeft w:val="0"/>
              <w:marRight w:val="0"/>
              <w:marTop w:val="0"/>
              <w:marBottom w:val="0"/>
              <w:divBdr>
                <w:top w:val="none" w:sz="0" w:space="0" w:color="auto"/>
                <w:left w:val="none" w:sz="0" w:space="0" w:color="auto"/>
                <w:bottom w:val="none" w:sz="0" w:space="0" w:color="auto"/>
                <w:right w:val="none" w:sz="0" w:space="0" w:color="auto"/>
              </w:divBdr>
              <w:divsChild>
                <w:div w:id="1298757867">
                  <w:marLeft w:val="0"/>
                  <w:marRight w:val="0"/>
                  <w:marTop w:val="0"/>
                  <w:marBottom w:val="0"/>
                  <w:divBdr>
                    <w:top w:val="none" w:sz="0" w:space="0" w:color="auto"/>
                    <w:left w:val="none" w:sz="0" w:space="0" w:color="auto"/>
                    <w:bottom w:val="none" w:sz="0" w:space="0" w:color="auto"/>
                    <w:right w:val="none" w:sz="0" w:space="0" w:color="auto"/>
                  </w:divBdr>
                  <w:divsChild>
                    <w:div w:id="480000433">
                      <w:marLeft w:val="0"/>
                      <w:marRight w:val="0"/>
                      <w:marTop w:val="0"/>
                      <w:marBottom w:val="0"/>
                      <w:divBdr>
                        <w:top w:val="none" w:sz="0" w:space="0" w:color="auto"/>
                        <w:left w:val="none" w:sz="0" w:space="0" w:color="auto"/>
                        <w:bottom w:val="none" w:sz="0" w:space="0" w:color="auto"/>
                        <w:right w:val="none" w:sz="0" w:space="0" w:color="auto"/>
                      </w:divBdr>
                      <w:divsChild>
                        <w:div w:id="948393554">
                          <w:marLeft w:val="0"/>
                          <w:marRight w:val="0"/>
                          <w:marTop w:val="0"/>
                          <w:marBottom w:val="0"/>
                          <w:divBdr>
                            <w:top w:val="none" w:sz="0" w:space="0" w:color="auto"/>
                            <w:left w:val="none" w:sz="0" w:space="0" w:color="auto"/>
                            <w:bottom w:val="none" w:sz="0" w:space="0" w:color="auto"/>
                            <w:right w:val="none" w:sz="0" w:space="0" w:color="auto"/>
                          </w:divBdr>
                          <w:divsChild>
                            <w:div w:id="13637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1926</Words>
  <Characters>10983</Characters>
  <Application>Microsoft Office Word</Application>
  <DocSecurity>0</DocSecurity>
  <Lines>91</Lines>
  <Paragraphs>25</Paragraphs>
  <ScaleCrop>false</ScaleCrop>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mohammadhosein barekat</dc:creator>
  <cp:keywords/>
  <dc:description/>
  <cp:lastModifiedBy>amir- ahrabinia</cp:lastModifiedBy>
  <cp:revision>2</cp:revision>
  <dcterms:created xsi:type="dcterms:W3CDTF">2025-12-09T11:22:00Z</dcterms:created>
  <dcterms:modified xsi:type="dcterms:W3CDTF">2025-12-09T11:22:00Z</dcterms:modified>
</cp:coreProperties>
</file>