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08F45" w14:textId="75AFB4BD" w:rsidR="002D2273" w:rsidRPr="00012042" w:rsidRDefault="002D2273" w:rsidP="00012042">
      <w:pPr>
        <w:pStyle w:val="p2"/>
        <w:bidi/>
        <w:rPr>
          <w:b/>
          <w:bCs/>
        </w:rPr>
      </w:pPr>
      <w:r w:rsidRPr="00012042">
        <w:rPr>
          <w:b/>
          <w:bCs/>
          <w:rtl/>
        </w:rPr>
        <w:t>توصیف «انسان کاملِ قرآنی» در نهج‌البلاغه از طریق الگوی «برادرِ خدایی» و پیوند علم با عمل و اخلاص</w:t>
      </w:r>
    </w:p>
    <w:p w14:paraId="2F737F0E" w14:textId="11676A2A" w:rsidR="004369F7" w:rsidRDefault="004369F7" w:rsidP="002D2273">
      <w:pPr>
        <w:pStyle w:val="p1"/>
        <w:bidi/>
      </w:pPr>
      <w:r>
        <w:rPr>
          <w:rtl/>
        </w:rPr>
        <w:t xml:space="preserve">عرض ادب و سلام و احترام دارم محضر برادران و خواهران ارجمند و اساتید معظم؛ ایام ولادت بانوی سربلند تاریخ اسلام حضرت زینب کبری سلام‌الله علیها را تبریک می‌گویم و از خداوند مسئلت می‌کنم عاقبت همه شما بزرگواران را به خیر ختم کند ان‌شاءالله. در جلسه قبل کلیاتی درباره نهج‌البلاغه عرض شد و امشب می‌خواهم یکی از «حِکم» نهج‌البلاغه را که در آن امیرالمؤمنین علیه‌السلام انسانِ کاملِ ترازِ قرآنی را توصیف می‌کند طرح کنم، اما پیش از ورود به متن، این سخن معصوم را به خودم و به شما یادآوری می‌کنم که: «الناس کلهم هلکى إلا العالمون، و العالمون کلهم هلکى إلا العاملون، و العاملون کلهم هلکى إلا المخلصون»؛ همه مردم در هلاکند مگر عالمان، و عالمان نیز در هلاکند مگر آنان که به علم خود عمل کنند، و عاملان نیز در هلاکند مگر آنان که در عمل خالص باشند؛ این بخش آخر همیشه مرا می‌ترساند، زیرا حتی «عالمِ عاملِ مخلص» هم در خطر است. در متون دینی تأکید شده که ارزش هر علمی، از جمله در رأس آن علم دین، به جاری شدنش در عمل است؛ اگر علم به عمل تبدیل نشود مسئولیت می‌آورد اما برکت نمی‌آورد. امیرالمؤمنین علیه‌السلام در پایان خطبه شِقشِقیّه، علت پذیرش حکومت را چنین بیان می‌کند: «ولولا أخذَ اللهُ علی العُلَماءِ أن لا یقارّوا علی کِظّةِ ظالمٍ و لا سَغَبِ مظلومٍ»؛ اگر نبود پیمانی که خدا از عالمان گرفته است که بر سیریِ ستمگر و گرسنگیِ ستمدیده آرام نگیرند، من حکومت را نمی‌پذیرفتم. پس نخستین بارِ علم بر دوش انسان همین است. البته امتیاز علم هم در روایات آمده است؛ عبادتِ یک ساعتِ عالم از عبادت هفتاد سالِ جاهل برتر است و «إنّما یَخشَى اللهَ من عباده العلماء»، اما همه فضیلت‌های علم گره خورده به عمل است؛ فاصله میان آنچه می‌دانیم و آنچه می‌کنیم بزرگ است؛ بسیاری علم دین دارند اما سلوک دینی ندارند و زیان می‌بینند، زیرا قرآن می‌فرماید: «لَیسَ لِلإنسانِ إلا ما سعی» (سوره النجم، آیه </w:t>
      </w:r>
      <w:r>
        <w:rPr>
          <w:rtl/>
          <w:lang w:bidi="fa-IR"/>
        </w:rPr>
        <w:t xml:space="preserve">۳۹). </w:t>
      </w:r>
      <w:r>
        <w:rPr>
          <w:rtl/>
        </w:rPr>
        <w:t xml:space="preserve">اگر دین به عمل ترجمه نشود ارزشی ندارد. اکنون به متن حکمت نهج‌البلاغه می‌رسیم؛ این سخن در دو شماره متفاوت آمده است (حکمت </w:t>
      </w:r>
      <w:r>
        <w:rPr>
          <w:rtl/>
          <w:lang w:bidi="fa-IR"/>
        </w:rPr>
        <w:t>۱۷۹</w:t>
      </w:r>
      <w:r>
        <w:rPr>
          <w:rtl/>
        </w:rPr>
        <w:t xml:space="preserve"> یا </w:t>
      </w:r>
      <w:r>
        <w:rPr>
          <w:rtl/>
          <w:lang w:bidi="fa-IR"/>
        </w:rPr>
        <w:t xml:space="preserve">۱۹۱) </w:t>
      </w:r>
      <w:r>
        <w:rPr>
          <w:rtl/>
        </w:rPr>
        <w:t xml:space="preserve">به اعتبار دو نسخه اصلی که مبنای ترجمه‌های فارسی‌اند: نسخه محمد عبده و نسخه صُبحی صالح؛ هر دو از علمای الازهرند و شرح‌های مختصری بر نهج‌البلاغه دارند؛ تفاوت شماره‌ها گاه ده تا پانزده مورد جابه‌جایی ایجاد کرده است، هرچند متن یکی است. شیخ محمد عبده امامِ الازهر و هم‌عصر سید جمال‌الدین اسدآبادی بود و نقل‌های لطیفی از او مانده است؛ مثلاً وقتی بیمار بود و سید جمال از او احوال پرسید گفت: «نحمدُ اللهَ و لا نشکرُه»، و در توضیح آیه «وَلَئِن شَکَرتُم لأَزیدَنَّکُم» (سوره ابراهیم، آیه </w:t>
      </w:r>
      <w:r>
        <w:rPr>
          <w:rtl/>
          <w:lang w:bidi="fa-IR"/>
        </w:rPr>
        <w:t xml:space="preserve">۷) </w:t>
      </w:r>
      <w:r>
        <w:rPr>
          <w:rtl/>
        </w:rPr>
        <w:t xml:space="preserve">گفت بیم دارم اگر شکر بیماری کنم افزون شود. امیرالمؤمنین علیه‌السلام در آن حکمت، «برادری دینی» را معرفی می‌کند که الگوی اخلاقیِ یک انسانِ کامل است و در پایان می‌فرماید: «علیکم بهذه الخلائق»؛ اینها داستان نیست، الگوست و باید خودتان را به این اخلاق بیارایید. امام با این جمله آغاز می‌کند: «کانَ لی فیما مضی أخٌ فی الله»؛ برای من در گذشته برادری خدایی بود. تعبیر «فیما مضی» نشان می‌دهد که آن شخص در زمان بیان کلام، از دنیا رفته بود. شارحان دو احتمال را مطرح کرده‌اند: احتمال قوی‌تر ابوذر غِفاری است و احتمال دوم عثمان بن مَظعون. «غِفار» نام قبیله‌ای در جنوب لبنان است و ابوذر از آن قبیله بود؛ تشیع جنوب لبنان به دست او گسترش یافت و در تاریخ نیز شیعیان آن سامان از خالص‌ترین شیعیان بوده‌اند. درباره عثمان بن مظعون هم باید دانست در بقیع دو عثمان مدفون‌اند: عثمان بن عفان و عثمان بن مظعون؛ عثمانِ بن مظعون از یاران نزدیک پیامبر و علی بود و محبت امام به او چنان بود که نام یکی از پسرانش را «عثمان» نهاد و این نام‌گذاری هیچ ربطی به عثمان بن عفان نداشت. ابوذر از صحابه اصیل رسول خدا بود؛ بعضی او را ششمین و بعضی دهمین مسلمان می‌دانند و ایمانش به دست امیرالمؤمنین علیه‌السلام در دوره دعوتِ پنهانی رخ داد. روایت معروفی است که علیِ ده‌ـ‌یازده ساله او را در مسجدالحرام دید، به خانه آورد و سپس با تدبیر و احتیاط نزد پیامبر برد. پیامبر درباره ابوذر فرمود: «ما أظلّتِ الخضراءُ و لا أقلّتِ الغبراءُ على ذی لهجةٍ أصدقَ من أبی ذر»؛ آسمان بر راستگوتر از ابوذر سایه نیفکند و زمین حمل نکرد. ارزش این جمله پس از سقیفه آشکار شد، زمانی که ابوذر بر حقانیت علی ایستاد و بهایش را پرداخت. در روزگار عثمان، مروان بن حکم محور دستگاه خلافت بود؛ ابوذر با کعب‌الأحبار، یهودی‌ای که در دوره عمر اسلام آورده و در عصر عثمان مشاور بلندپایه خلافت شده بود، درافتاد؛ هنگامی که کعب حدیثی را به دروغ به پیامبر نسبت داد، ابوذر او را زد و عثمان برآشفت؛ ابوذر گفت امر به معروف و نهی از منکر وظیفه همگان است. حکم تبعید ابوذر صادر شد و نخست به شام فرستاده شد؛ معاویه نوشت اگر شام را می‌خواهی نگه داری او را برگردان، زیرا مردم را با حق علی آشنا می‌کند؛ عثمان دستور داد ابوذر را «بر شتر بی‌جهاز» بازگردانند که نوعی شکنجه بود و هنگامی که رسید گوشت ران‌هایش از رنج مسیر آب شده بود. سپس به «رَبَذه» تبعید شد و در غربت از دنیا رفت و تنها دخترش کنار او بود تا کاروانی رسید و دفنش کرد؛ یکی از مظلوم‌ترین صحابه، با آنکه ملازم پیامبر بود، در منابع اهل‌سنت روایات اندکی به نامش ثبت شده، حال آنکه ابوهریره که شش ماه بیش با پیامبر معاصر نبود، هزاران روایت دارد. بنابراین احتمال نخست در مصداقِ «أخ فی الله» بودنِ ابوذر قوی است و احتمالِ دوم عثمان بن مظعون. محور رابطه مؤمنان در دنیا «إنّما المؤمنون إخوة» (سوره الحجرات، آیه </w:t>
      </w:r>
      <w:r>
        <w:rPr>
          <w:rtl/>
          <w:lang w:bidi="fa-IR"/>
        </w:rPr>
        <w:t xml:space="preserve">۱۰) </w:t>
      </w:r>
      <w:r>
        <w:rPr>
          <w:rtl/>
        </w:rPr>
        <w:t xml:space="preserve">و در آخرت «إخواناً علی سُرُرٍ متقابلین» (سوره الحجر، آیه </w:t>
      </w:r>
      <w:r>
        <w:rPr>
          <w:rtl/>
          <w:lang w:bidi="fa-IR"/>
        </w:rPr>
        <w:t xml:space="preserve">۴۷) </w:t>
      </w:r>
      <w:r>
        <w:rPr>
          <w:rtl/>
        </w:rPr>
        <w:t xml:space="preserve">است؛ واژه «اخوت» ناظر به جنس نیست و «برادری» ترجمه کاملی برایش نیست؛ خواهران مؤمنه نیز داخل این نسبت‌اند. بسیاری از </w:t>
      </w:r>
      <w:r>
        <w:rPr>
          <w:rtl/>
        </w:rPr>
        <w:lastRenderedPageBreak/>
        <w:t xml:space="preserve">پیوندهای انسانی با از میان رفتنِ علتِ پیوند سست می‌شود، اما پیوند «أخوّه فی الله» با بقای خدا باقی است و محکم‌ترین و خالص‌ترین پیوند است. آیه «ویؤثرون علی أنفسهم ولو کان بهم خصاصة» (سوره الحشر، آیه </w:t>
      </w:r>
      <w:r>
        <w:rPr>
          <w:rtl/>
          <w:lang w:bidi="fa-IR"/>
        </w:rPr>
        <w:t xml:space="preserve">۹) </w:t>
      </w:r>
      <w:r>
        <w:rPr>
          <w:rtl/>
        </w:rPr>
        <w:t xml:space="preserve">درباره ایثار مؤمنان نازل شد و نمونه‌هایش در سیره بسیار است. امروز جای این برادری‌های خدایی در جامعه خالی است؛ مؤمن اگر مؤمنی را دوست دارد باید ابراز کند؛ فرق «محبت» و «مودت» نیز همین ظهور بیرونی است؛ قرآن می‌فرماید: «قل لا أسألکم علیه أجراً إلا المودة فی القربی» (سوره الشوری، آیه </w:t>
      </w:r>
      <w:r>
        <w:rPr>
          <w:rtl/>
          <w:lang w:bidi="fa-IR"/>
        </w:rPr>
        <w:t xml:space="preserve">۲۳) </w:t>
      </w:r>
      <w:r>
        <w:rPr>
          <w:rtl/>
        </w:rPr>
        <w:t xml:space="preserve">و نیز «ومن آیاته أن خلق لکم من أنفسکم أزواجاً لتسکنوا إلیها و جعل بینکم مودةً و رحمة» (سوره الروم، آیه </w:t>
      </w:r>
      <w:r>
        <w:rPr>
          <w:rtl/>
          <w:lang w:bidi="fa-IR"/>
        </w:rPr>
        <w:t xml:space="preserve">۲۱). </w:t>
      </w:r>
      <w:r>
        <w:rPr>
          <w:rtl/>
        </w:rPr>
        <w:t xml:space="preserve">خدا محبت را در دل‌ها می‌افکند: «وألقیتُ علیک محبةً منّی» (سوره طه، آیه </w:t>
      </w:r>
      <w:r>
        <w:rPr>
          <w:rtl/>
          <w:lang w:bidi="fa-IR"/>
        </w:rPr>
        <w:t xml:space="preserve">۳۹) </w:t>
      </w:r>
      <w:r>
        <w:rPr>
          <w:rtl/>
        </w:rPr>
        <w:t xml:space="preserve">و «إنّ الله یحول بین المرء و قلبه» (سوره الأنفال، آیه </w:t>
      </w:r>
      <w:r>
        <w:rPr>
          <w:rtl/>
          <w:lang w:bidi="fa-IR"/>
        </w:rPr>
        <w:t xml:space="preserve">۲۴). </w:t>
      </w:r>
      <w:r>
        <w:rPr>
          <w:rtl/>
        </w:rPr>
        <w:t xml:space="preserve">پیامبر به علی فرمود: «لا یُحِبُّک إلا مؤمنٌ و لا یُبغِضُک إلا منافقٌ» و امیرالمؤمنین در نهج‌البلاغه می‌گوید: اگر بر پیشانی مؤمن با شمشیر بزنم از من جدا نمی‌شود و اگر دنیا را به پای منافق بریزند مرا دوست نخواهد داشت. اظهار محبت باید گفتاری و رفتاری باشد؛ مزد رسالت فقط «دوست داشتن» نیست، «مودت» است یعنی ابراز عملی. از مستحبات عید غدیر عقد اخوت میان مؤمنان است و در اخلاق آمده که دو مؤمن پس از عقد اخوت، دست‌کم بیست حق متقابل دارند؛ تا آنجا که امام صادق علیه‌السلام نشانه شیعه را چنین معرفی می‌کند که اگر مؤمنی نیازمند شد بتواند به اندازه حاجتش از جیب برادرش بردارد و مطمئن باشد او راضی است؛ اگر به این مرتبه نرسیدیم لااقل بگوییم «محب» اهل‌بیتیم که آن هم مقامی بزرگ است. پیامبر در مدینه پی‌درپی عقد اخوت برقرار می‌کرد و درباره امیرالمؤمنین بارها فرمود: «یا علی أنت أخی و وصیّی و خلیفتی» و در نسبت پیامبر و علی تا مرزِ «أنفسَنا و أنفسَکم» (سوره آل‌عمران، آیه </w:t>
      </w:r>
      <w:r>
        <w:rPr>
          <w:rtl/>
          <w:lang w:bidi="fa-IR"/>
        </w:rPr>
        <w:t xml:space="preserve">۶۱) </w:t>
      </w:r>
      <w:r>
        <w:rPr>
          <w:rtl/>
        </w:rPr>
        <w:t xml:space="preserve">پیش رفت؛ در سوره طه، بعثتِ موسی با طلب شریک رسالت آغاز می‌شود: «قال رب اشرح لی صدری و یسّر لی أمری و احلل عقدةً من لسانی یفقهوا قولی و اجعل لی وزیرًا من أهلی هارون أخی اشدد به أزری و أشرکه فی أمری» (سوره طه، آیات </w:t>
      </w:r>
      <w:r>
        <w:rPr>
          <w:rtl/>
          <w:lang w:bidi="fa-IR"/>
        </w:rPr>
        <w:t>۲۵</w:t>
      </w:r>
      <w:r>
        <w:rPr>
          <w:rtl/>
        </w:rPr>
        <w:t xml:space="preserve"> تا </w:t>
      </w:r>
      <w:r>
        <w:rPr>
          <w:rtl/>
          <w:lang w:bidi="fa-IR"/>
        </w:rPr>
        <w:t xml:space="preserve">۳۲) </w:t>
      </w:r>
      <w:r>
        <w:rPr>
          <w:rtl/>
        </w:rPr>
        <w:t xml:space="preserve">و پاسخ آمد: «قد أوتیت سؤلک یا موسی» (آیه </w:t>
      </w:r>
      <w:r>
        <w:rPr>
          <w:rtl/>
          <w:lang w:bidi="fa-IR"/>
        </w:rPr>
        <w:t>۳۶)</w:t>
      </w:r>
      <w:r>
        <w:rPr>
          <w:rtl/>
        </w:rPr>
        <w:t xml:space="preserve">؛ سپس خطاب‌ها تثنیه شد: «اذهبَا إلى فرعون إنه طغى، فقولا له قولاً لیناً» (آیات </w:t>
      </w:r>
      <w:r>
        <w:rPr>
          <w:rtl/>
          <w:lang w:bidi="fa-IR"/>
        </w:rPr>
        <w:t>۴۳</w:t>
      </w:r>
      <w:r>
        <w:rPr>
          <w:rtl/>
        </w:rPr>
        <w:t xml:space="preserve"> و </w:t>
      </w:r>
      <w:r>
        <w:rPr>
          <w:rtl/>
          <w:lang w:bidi="fa-IR"/>
        </w:rPr>
        <w:t xml:space="preserve">۴۴) </w:t>
      </w:r>
      <w:r>
        <w:rPr>
          <w:rtl/>
        </w:rPr>
        <w:t xml:space="preserve">تا آنجا که فرعون گفت: «فمن ربّکما یا موسی» (آیه </w:t>
      </w:r>
      <w:r>
        <w:rPr>
          <w:rtl/>
          <w:lang w:bidi="fa-IR"/>
        </w:rPr>
        <w:t xml:space="preserve">۴۹). </w:t>
      </w:r>
      <w:r>
        <w:rPr>
          <w:rtl/>
        </w:rPr>
        <w:t>این یعنی نبوت بی‌امامت به سامان نمی‌رسد. حتی در آستانه حرم امیرالمؤمنین علیه‌السلام، بر الواح طلا زیارت پیامبر نقش بسته است: «السلام علی صاحب السکینة، السلام علی المدفون بالمدینة» تا یادآور پیوند «أنفسنا و أنفسکم» باشد. اکنون به صفات آن «أخ فی الله» در کلام امام بازگردیم: «کان یعظّمه فی عینی صِغَرُ الدنیا فی عینه»؛ کوچکی دنیا در نگاه او او را در چشم من بزرگ می‌کرد. «و کان خاراً من سلطان بطنه»؛ از سلطه شکم آزاد بود، «فلا یشتهی ما لا یجد»؛ آنچه را نمی‌یافت، اشتها نمی‌کرد، «ولا یسرف إذا وجد»؛ و چون می‌یافت اسراف نمی‌ورزید. «و کان اکثر دهره صامتاً»؛ بیشتر روزگارش خاموش بود و «و إن قال بذل القائلین و قمع قیل السائلین»؛ و چون سخن می‌گفت، سخنوران را بر جای می‌نشاند و عطش پرسشگران را فرو می‌نشاند؛ کم‌گو و گزیده‌گو. «و کان ضعیفاً مستضعفاً فإذا جدّ فهو لیثُ غابٍ و ضیغامُ صحراء»؛ در ظاهر ضعیف می‌نمود اما در میدان جدیت شیر بیشه و دلاور بیابان بود. «لا یدلی بحجةٍ حتی یکون قاضیاً»؛ حجتی را علیه کسی ابراز نمی‌کرد مگر در موضع قضا. «و کان لا یلوم أحداً علی ما یجد فی مثله حتی یسمع»؛ کسی را ملامت نمی‌کرد تا سخنش را بشنود. «و کان لا یشکو عند برءٍ»؛ شکایت از درد را به هنگام بهبود بر زبان می‌آورد نه در وقت بلا؛ نشانه صبر. «یقول ما یفعل و لا یقول ما لم یفعل»؛ گفتار و کردار او یکی بود. «و کان علی ما یسمع أحرص منه علی أن یتکلم»؛ بر شنیدن حریص‌تر از گفتن بود. «و کان إذا غُلب علی الکلام لم یُغلب علی السکوت»؛ اگر در سخن بر او پیشی می‌گرفتند در سکوت مغلوب نمی‌شد. «و کان إذا عرض له أمران نظر أیّهما أقرب إلى الهوی فخالفه»؛ هرگاه میان دو راهی قرار می‌گرفت می‌نگریست کدام به هوای نفس نزدیک‌تر است و خلاف آن را برمی‌گزید. سپس فرمود: «علیکم بهذه الخلائق فالزموها و تنافسوا فیها فإن لم تستطیعوا کلّها فاعلموا أنّ أخذ القلیل خیرٌ من ترک الکثیر»؛ بر شماست که خود را به این اخلاق بیارایید، خود را بر آن مُلزم کنید و در تحصیل آن با هم رقابت نمایید؛ اگر همه را نتوانستید، بدانید گرفتنِ اندک بهتر از رها کردنِ بسیار است؛ اگر همه شانزده صفت نه، چهارده‌تا؛ اگر نه، دوازده‌تا؛ اگر نه، ده‌تا؛ اگر نه، پنج‌تا؛ اگر نه، سه‌تا؛ اگر نه، یکی. و صلی الله علی محمد وآله الطاهرین.</w:t>
      </w:r>
    </w:p>
    <w:p w14:paraId="7CDE17B8" w14:textId="77777777" w:rsidR="004369F7" w:rsidRDefault="004369F7"/>
    <w:sectPr w:rsidR="00436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9F7"/>
    <w:rsid w:val="00012042"/>
    <w:rsid w:val="002D2273"/>
    <w:rsid w:val="00335075"/>
    <w:rsid w:val="004369F7"/>
    <w:rsid w:val="00A26A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DA0E9"/>
  <w15:chartTrackingRefBased/>
  <w15:docId w15:val="{FB4867A1-735F-5A4C-BAA3-EACECF5C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9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9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9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9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9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9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9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9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9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9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9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9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9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9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9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9F7"/>
    <w:rPr>
      <w:rFonts w:eastAsiaTheme="majorEastAsia" w:cstheme="majorBidi"/>
      <w:color w:val="272727" w:themeColor="text1" w:themeTint="D8"/>
    </w:rPr>
  </w:style>
  <w:style w:type="paragraph" w:styleId="Title">
    <w:name w:val="Title"/>
    <w:basedOn w:val="Normal"/>
    <w:next w:val="Normal"/>
    <w:link w:val="TitleChar"/>
    <w:uiPriority w:val="10"/>
    <w:qFormat/>
    <w:rsid w:val="00436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9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9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9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9F7"/>
    <w:pPr>
      <w:spacing w:before="160"/>
      <w:jc w:val="center"/>
    </w:pPr>
    <w:rPr>
      <w:i/>
      <w:iCs/>
      <w:color w:val="404040" w:themeColor="text1" w:themeTint="BF"/>
    </w:rPr>
  </w:style>
  <w:style w:type="character" w:customStyle="1" w:styleId="QuoteChar">
    <w:name w:val="Quote Char"/>
    <w:basedOn w:val="DefaultParagraphFont"/>
    <w:link w:val="Quote"/>
    <w:uiPriority w:val="29"/>
    <w:rsid w:val="004369F7"/>
    <w:rPr>
      <w:i/>
      <w:iCs/>
      <w:color w:val="404040" w:themeColor="text1" w:themeTint="BF"/>
    </w:rPr>
  </w:style>
  <w:style w:type="paragraph" w:styleId="ListParagraph">
    <w:name w:val="List Paragraph"/>
    <w:basedOn w:val="Normal"/>
    <w:uiPriority w:val="34"/>
    <w:qFormat/>
    <w:rsid w:val="004369F7"/>
    <w:pPr>
      <w:ind w:left="720"/>
      <w:contextualSpacing/>
    </w:pPr>
  </w:style>
  <w:style w:type="character" w:styleId="IntenseEmphasis">
    <w:name w:val="Intense Emphasis"/>
    <w:basedOn w:val="DefaultParagraphFont"/>
    <w:uiPriority w:val="21"/>
    <w:qFormat/>
    <w:rsid w:val="004369F7"/>
    <w:rPr>
      <w:i/>
      <w:iCs/>
      <w:color w:val="0F4761" w:themeColor="accent1" w:themeShade="BF"/>
    </w:rPr>
  </w:style>
  <w:style w:type="paragraph" w:styleId="IntenseQuote">
    <w:name w:val="Intense Quote"/>
    <w:basedOn w:val="Normal"/>
    <w:next w:val="Normal"/>
    <w:link w:val="IntenseQuoteChar"/>
    <w:uiPriority w:val="30"/>
    <w:qFormat/>
    <w:rsid w:val="00436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9F7"/>
    <w:rPr>
      <w:i/>
      <w:iCs/>
      <w:color w:val="0F4761" w:themeColor="accent1" w:themeShade="BF"/>
    </w:rPr>
  </w:style>
  <w:style w:type="character" w:styleId="IntenseReference">
    <w:name w:val="Intense Reference"/>
    <w:basedOn w:val="DefaultParagraphFont"/>
    <w:uiPriority w:val="32"/>
    <w:qFormat/>
    <w:rsid w:val="004369F7"/>
    <w:rPr>
      <w:b/>
      <w:bCs/>
      <w:smallCaps/>
      <w:color w:val="0F4761" w:themeColor="accent1" w:themeShade="BF"/>
      <w:spacing w:val="5"/>
    </w:rPr>
  </w:style>
  <w:style w:type="paragraph" w:customStyle="1" w:styleId="p1">
    <w:name w:val="p1"/>
    <w:basedOn w:val="Normal"/>
    <w:rsid w:val="004369F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2">
    <w:name w:val="p2"/>
    <w:basedOn w:val="Normal"/>
    <w:rsid w:val="002D227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1335</Words>
  <Characters>7616</Characters>
  <Application>Microsoft Office Word</Application>
  <DocSecurity>0</DocSecurity>
  <Lines>63</Lines>
  <Paragraphs>17</Paragraphs>
  <ScaleCrop>false</ScaleCrop>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mohammadhosein barekat</dc:creator>
  <cp:keywords/>
  <dc:description/>
  <cp:lastModifiedBy>amir- ahrabinia</cp:lastModifiedBy>
  <cp:revision>3</cp:revision>
  <dcterms:created xsi:type="dcterms:W3CDTF">2025-10-19T16:04:00Z</dcterms:created>
  <dcterms:modified xsi:type="dcterms:W3CDTF">2025-12-13T13:56:00Z</dcterms:modified>
</cp:coreProperties>
</file>